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4AB1" w14:textId="77777777" w:rsidR="00614C1A" w:rsidRPr="00A462B1" w:rsidRDefault="00614C1A" w:rsidP="00614C1A">
      <w:pPr>
        <w:pStyle w:val="Default"/>
        <w:rPr>
          <w:b/>
          <w:bCs/>
          <w:sz w:val="22"/>
          <w:szCs w:val="22"/>
        </w:rPr>
      </w:pPr>
      <w:r w:rsidRPr="00A462B1">
        <w:rPr>
          <w:b/>
          <w:bCs/>
          <w:sz w:val="22"/>
          <w:szCs w:val="22"/>
        </w:rPr>
        <w:t xml:space="preserve">GENDER PAY GAP REPORT </w:t>
      </w:r>
      <w:r>
        <w:rPr>
          <w:b/>
          <w:bCs/>
          <w:sz w:val="22"/>
          <w:szCs w:val="22"/>
        </w:rPr>
        <w:t xml:space="preserve">2021 </w:t>
      </w:r>
      <w:r w:rsidRPr="00A462B1">
        <w:rPr>
          <w:b/>
          <w:bCs/>
          <w:sz w:val="22"/>
          <w:szCs w:val="22"/>
        </w:rPr>
        <w:t xml:space="preserve">– </w:t>
      </w:r>
      <w:r>
        <w:rPr>
          <w:b/>
          <w:bCs/>
          <w:sz w:val="22"/>
          <w:szCs w:val="22"/>
        </w:rPr>
        <w:t xml:space="preserve">LEAD EMPLOYER TRUST (LET) - </w:t>
      </w:r>
      <w:r w:rsidRPr="00A462B1">
        <w:rPr>
          <w:b/>
          <w:bCs/>
          <w:sz w:val="22"/>
          <w:szCs w:val="22"/>
        </w:rPr>
        <w:t xml:space="preserve">NORTHUMBRIA HEALTHCARE NHS FOUNDATION TRUST </w:t>
      </w:r>
    </w:p>
    <w:p w14:paraId="04304B83" w14:textId="77777777" w:rsidR="00614C1A" w:rsidRDefault="00614C1A" w:rsidP="00614C1A">
      <w:pPr>
        <w:pStyle w:val="Default"/>
        <w:rPr>
          <w:sz w:val="22"/>
          <w:szCs w:val="22"/>
        </w:rPr>
      </w:pPr>
    </w:p>
    <w:p w14:paraId="4BCD8095" w14:textId="77777777" w:rsidR="00614C1A" w:rsidRPr="00A462B1" w:rsidRDefault="00614C1A" w:rsidP="00614C1A">
      <w:pPr>
        <w:pStyle w:val="Default"/>
        <w:rPr>
          <w:sz w:val="22"/>
          <w:szCs w:val="22"/>
        </w:rPr>
      </w:pPr>
    </w:p>
    <w:p w14:paraId="25CAC379" w14:textId="77777777" w:rsidR="00614C1A" w:rsidRPr="00A462B1" w:rsidRDefault="00614C1A" w:rsidP="00614C1A">
      <w:pPr>
        <w:pStyle w:val="Default"/>
        <w:numPr>
          <w:ilvl w:val="0"/>
          <w:numId w:val="1"/>
        </w:numPr>
        <w:rPr>
          <w:b/>
          <w:bCs/>
          <w:sz w:val="22"/>
          <w:szCs w:val="22"/>
        </w:rPr>
      </w:pPr>
      <w:r w:rsidRPr="00A462B1">
        <w:rPr>
          <w:b/>
          <w:bCs/>
          <w:sz w:val="22"/>
          <w:szCs w:val="22"/>
        </w:rPr>
        <w:t xml:space="preserve">Introduction </w:t>
      </w:r>
    </w:p>
    <w:p w14:paraId="6EB9CFA6" w14:textId="77777777" w:rsidR="00614C1A" w:rsidRPr="00A462B1" w:rsidRDefault="00614C1A" w:rsidP="00614C1A">
      <w:pPr>
        <w:pStyle w:val="Default"/>
        <w:rPr>
          <w:sz w:val="22"/>
          <w:szCs w:val="22"/>
        </w:rPr>
      </w:pPr>
    </w:p>
    <w:p w14:paraId="695FF336" w14:textId="77777777" w:rsidR="00614C1A" w:rsidRPr="00A462B1" w:rsidRDefault="00614C1A" w:rsidP="00614C1A">
      <w:pPr>
        <w:pStyle w:val="Default"/>
        <w:rPr>
          <w:sz w:val="22"/>
          <w:szCs w:val="22"/>
        </w:rPr>
      </w:pPr>
      <w:r>
        <w:rPr>
          <w:sz w:val="22"/>
          <w:szCs w:val="22"/>
        </w:rPr>
        <w:t>Lead Employer Trust (LET)</w:t>
      </w:r>
      <w:r w:rsidRPr="00A462B1">
        <w:rPr>
          <w:sz w:val="22"/>
          <w:szCs w:val="22"/>
        </w:rPr>
        <w:t xml:space="preserve"> are required to carry out Gender Pay Gap (GPG) reporting under the Equality Act 2010 (Gender Pay Gap Information Regulations 2017). </w:t>
      </w:r>
    </w:p>
    <w:p w14:paraId="21024BA4" w14:textId="77777777" w:rsidR="00614C1A" w:rsidRPr="00A462B1" w:rsidRDefault="00614C1A" w:rsidP="00614C1A">
      <w:pPr>
        <w:pStyle w:val="Default"/>
        <w:rPr>
          <w:sz w:val="22"/>
          <w:szCs w:val="22"/>
        </w:rPr>
      </w:pPr>
    </w:p>
    <w:p w14:paraId="701C9111" w14:textId="77777777" w:rsidR="00614C1A" w:rsidRPr="00A462B1" w:rsidRDefault="00614C1A" w:rsidP="00614C1A">
      <w:pPr>
        <w:pStyle w:val="Default"/>
        <w:rPr>
          <w:sz w:val="22"/>
          <w:szCs w:val="22"/>
        </w:rPr>
      </w:pPr>
      <w:r w:rsidRPr="00A462B1">
        <w:rPr>
          <w:sz w:val="22"/>
          <w:szCs w:val="22"/>
        </w:rPr>
        <w:t xml:space="preserve">It is important to appreciate that </w:t>
      </w:r>
      <w:r>
        <w:rPr>
          <w:sz w:val="22"/>
          <w:szCs w:val="22"/>
        </w:rPr>
        <w:t>g</w:t>
      </w:r>
      <w:r w:rsidRPr="00A462B1">
        <w:rPr>
          <w:sz w:val="22"/>
          <w:szCs w:val="22"/>
        </w:rPr>
        <w:t>ender pay</w:t>
      </w:r>
      <w:r>
        <w:rPr>
          <w:sz w:val="22"/>
          <w:szCs w:val="22"/>
        </w:rPr>
        <w:t xml:space="preserve"> gap</w:t>
      </w:r>
      <w:r w:rsidRPr="00A462B1">
        <w:rPr>
          <w:sz w:val="22"/>
          <w:szCs w:val="22"/>
        </w:rPr>
        <w:t xml:space="preserve"> and equal pay are two distinct concepts: </w:t>
      </w:r>
    </w:p>
    <w:p w14:paraId="12F625C0" w14:textId="77777777" w:rsidR="00614C1A" w:rsidRPr="00A462B1" w:rsidRDefault="00614C1A" w:rsidP="00614C1A">
      <w:pPr>
        <w:pStyle w:val="Default"/>
        <w:rPr>
          <w:sz w:val="22"/>
          <w:szCs w:val="22"/>
        </w:rPr>
      </w:pPr>
    </w:p>
    <w:p w14:paraId="0812F1DF" w14:textId="77777777" w:rsidR="00614C1A" w:rsidRPr="00A462B1" w:rsidRDefault="00614C1A" w:rsidP="00614C1A">
      <w:pPr>
        <w:pStyle w:val="Default"/>
        <w:spacing w:after="30"/>
        <w:ind w:left="720"/>
        <w:rPr>
          <w:sz w:val="22"/>
          <w:szCs w:val="22"/>
        </w:rPr>
      </w:pPr>
      <w:r w:rsidRPr="00A462B1">
        <w:rPr>
          <w:sz w:val="22"/>
          <w:szCs w:val="22"/>
        </w:rPr>
        <w:t xml:space="preserve">• Equal </w:t>
      </w:r>
      <w:r>
        <w:rPr>
          <w:sz w:val="22"/>
          <w:szCs w:val="22"/>
        </w:rPr>
        <w:t>p</w:t>
      </w:r>
      <w:r w:rsidRPr="00A462B1">
        <w:rPr>
          <w:sz w:val="22"/>
          <w:szCs w:val="22"/>
        </w:rPr>
        <w:t xml:space="preserve">ay is concerned with male and female employees earning equal pay for work of equal value. </w:t>
      </w:r>
    </w:p>
    <w:p w14:paraId="59D5B78D" w14:textId="77777777" w:rsidR="00614C1A" w:rsidRPr="00A462B1" w:rsidRDefault="00614C1A" w:rsidP="00614C1A">
      <w:pPr>
        <w:pStyle w:val="Default"/>
        <w:ind w:left="720"/>
        <w:rPr>
          <w:sz w:val="22"/>
          <w:szCs w:val="22"/>
        </w:rPr>
      </w:pPr>
      <w:r w:rsidRPr="00A462B1">
        <w:rPr>
          <w:sz w:val="22"/>
          <w:szCs w:val="22"/>
        </w:rPr>
        <w:t xml:space="preserve">• The </w:t>
      </w:r>
      <w:r>
        <w:rPr>
          <w:sz w:val="22"/>
          <w:szCs w:val="22"/>
        </w:rPr>
        <w:t>g</w:t>
      </w:r>
      <w:r w:rsidRPr="00A462B1">
        <w:rPr>
          <w:sz w:val="22"/>
          <w:szCs w:val="22"/>
        </w:rPr>
        <w:t xml:space="preserve">ender </w:t>
      </w:r>
      <w:r>
        <w:rPr>
          <w:sz w:val="22"/>
          <w:szCs w:val="22"/>
        </w:rPr>
        <w:t>p</w:t>
      </w:r>
      <w:r w:rsidRPr="00A462B1">
        <w:rPr>
          <w:sz w:val="22"/>
          <w:szCs w:val="22"/>
        </w:rPr>
        <w:t xml:space="preserve">ay </w:t>
      </w:r>
      <w:r>
        <w:rPr>
          <w:sz w:val="22"/>
          <w:szCs w:val="22"/>
        </w:rPr>
        <w:t>g</w:t>
      </w:r>
      <w:r w:rsidRPr="00A462B1">
        <w:rPr>
          <w:sz w:val="22"/>
          <w:szCs w:val="22"/>
        </w:rPr>
        <w:t xml:space="preserve">ap is about the difference between male and female employees’ average pay within an organisation. </w:t>
      </w:r>
    </w:p>
    <w:p w14:paraId="76EF7742" w14:textId="77777777" w:rsidR="00614C1A" w:rsidRPr="007743D9" w:rsidRDefault="00614C1A" w:rsidP="00614C1A">
      <w:pPr>
        <w:pStyle w:val="Default"/>
        <w:rPr>
          <w:sz w:val="22"/>
          <w:szCs w:val="22"/>
          <w:highlight w:val="yellow"/>
        </w:rPr>
      </w:pPr>
    </w:p>
    <w:p w14:paraId="5BBF136A" w14:textId="77777777" w:rsidR="00614C1A" w:rsidRPr="00A462B1" w:rsidRDefault="00614C1A" w:rsidP="00614C1A">
      <w:pPr>
        <w:pStyle w:val="Default"/>
        <w:rPr>
          <w:sz w:val="22"/>
          <w:szCs w:val="22"/>
        </w:rPr>
      </w:pPr>
      <w:r w:rsidRPr="00A462B1">
        <w:rPr>
          <w:sz w:val="22"/>
          <w:szCs w:val="22"/>
        </w:rPr>
        <w:t xml:space="preserve">Reporting the gender pay gap involves carrying out six calculations that show the difference between the average earnings of male and female employees in </w:t>
      </w:r>
      <w:r>
        <w:rPr>
          <w:sz w:val="22"/>
          <w:szCs w:val="22"/>
        </w:rPr>
        <w:t>the LET</w:t>
      </w:r>
      <w:r w:rsidRPr="00A462B1">
        <w:rPr>
          <w:sz w:val="22"/>
          <w:szCs w:val="22"/>
        </w:rPr>
        <w:t xml:space="preserve">; it does not involve publishing individual employee data. </w:t>
      </w:r>
    </w:p>
    <w:p w14:paraId="4C58ADD6" w14:textId="77777777" w:rsidR="00614C1A" w:rsidRPr="007743D9" w:rsidRDefault="00614C1A" w:rsidP="00614C1A">
      <w:pPr>
        <w:pStyle w:val="Default"/>
        <w:rPr>
          <w:sz w:val="22"/>
          <w:szCs w:val="22"/>
          <w:highlight w:val="yellow"/>
        </w:rPr>
      </w:pPr>
    </w:p>
    <w:p w14:paraId="0111CCE7" w14:textId="21894A74" w:rsidR="00614C1A" w:rsidRDefault="00614C1A" w:rsidP="00614C1A">
      <w:pPr>
        <w:pStyle w:val="Default"/>
        <w:rPr>
          <w:sz w:val="22"/>
          <w:szCs w:val="22"/>
        </w:rPr>
      </w:pPr>
      <w:r>
        <w:rPr>
          <w:sz w:val="22"/>
          <w:szCs w:val="22"/>
        </w:rPr>
        <w:t>The LET</w:t>
      </w:r>
      <w:r w:rsidRPr="00A462B1">
        <w:rPr>
          <w:sz w:val="22"/>
          <w:szCs w:val="22"/>
        </w:rPr>
        <w:t xml:space="preserve"> </w:t>
      </w:r>
      <w:proofErr w:type="gramStart"/>
      <w:r w:rsidRPr="00A462B1">
        <w:rPr>
          <w:sz w:val="22"/>
          <w:szCs w:val="22"/>
        </w:rPr>
        <w:t>are</w:t>
      </w:r>
      <w:proofErr w:type="gramEnd"/>
      <w:r w:rsidRPr="00A462B1">
        <w:rPr>
          <w:sz w:val="22"/>
          <w:szCs w:val="22"/>
        </w:rPr>
        <w:t xml:space="preserve"> required to publish the results on our own website and the </w:t>
      </w:r>
      <w:r>
        <w:rPr>
          <w:sz w:val="22"/>
          <w:szCs w:val="22"/>
        </w:rPr>
        <w:t>UK G</w:t>
      </w:r>
      <w:r w:rsidRPr="00A462B1">
        <w:rPr>
          <w:sz w:val="22"/>
          <w:szCs w:val="22"/>
        </w:rPr>
        <w:t xml:space="preserve">overnment website. </w:t>
      </w:r>
      <w:r>
        <w:rPr>
          <w:sz w:val="22"/>
          <w:szCs w:val="22"/>
        </w:rPr>
        <w:t>The LET</w:t>
      </w:r>
      <w:r w:rsidRPr="00A462B1">
        <w:rPr>
          <w:sz w:val="22"/>
          <w:szCs w:val="22"/>
        </w:rPr>
        <w:t xml:space="preserve"> </w:t>
      </w:r>
      <w:proofErr w:type="gramStart"/>
      <w:r w:rsidRPr="00A462B1">
        <w:rPr>
          <w:sz w:val="22"/>
          <w:szCs w:val="22"/>
        </w:rPr>
        <w:t>are</w:t>
      </w:r>
      <w:proofErr w:type="gramEnd"/>
      <w:r w:rsidRPr="00A462B1">
        <w:rPr>
          <w:sz w:val="22"/>
          <w:szCs w:val="22"/>
        </w:rPr>
        <w:t xml:space="preserve"> required to do this within one calendar year of </w:t>
      </w:r>
      <w:r>
        <w:rPr>
          <w:sz w:val="22"/>
          <w:szCs w:val="22"/>
        </w:rPr>
        <w:t xml:space="preserve">the snapshot date at which the gender pay gap is calculated – this year being </w:t>
      </w:r>
      <w:r w:rsidRPr="00A462B1">
        <w:rPr>
          <w:sz w:val="22"/>
          <w:szCs w:val="22"/>
        </w:rPr>
        <w:t>March 31st 202</w:t>
      </w:r>
      <w:r w:rsidR="001A734C">
        <w:rPr>
          <w:sz w:val="22"/>
          <w:szCs w:val="22"/>
        </w:rPr>
        <w:t>3</w:t>
      </w:r>
      <w:r w:rsidRPr="00A462B1">
        <w:rPr>
          <w:sz w:val="22"/>
          <w:szCs w:val="22"/>
        </w:rPr>
        <w:t>.</w:t>
      </w:r>
      <w:r>
        <w:rPr>
          <w:sz w:val="22"/>
          <w:szCs w:val="22"/>
        </w:rPr>
        <w:t xml:space="preserve"> </w:t>
      </w:r>
    </w:p>
    <w:p w14:paraId="22EE6B73" w14:textId="77777777" w:rsidR="00614C1A" w:rsidRDefault="00614C1A" w:rsidP="00614C1A">
      <w:pPr>
        <w:pStyle w:val="Default"/>
        <w:rPr>
          <w:sz w:val="22"/>
          <w:szCs w:val="22"/>
        </w:rPr>
      </w:pPr>
    </w:p>
    <w:p w14:paraId="2F9CD0BA" w14:textId="77777777" w:rsidR="00614C1A" w:rsidRPr="00A462B1" w:rsidRDefault="00614C1A" w:rsidP="00614C1A">
      <w:pPr>
        <w:pStyle w:val="Default"/>
        <w:rPr>
          <w:sz w:val="22"/>
          <w:szCs w:val="22"/>
        </w:rPr>
      </w:pPr>
      <w:r w:rsidRPr="00A462B1">
        <w:rPr>
          <w:sz w:val="22"/>
          <w:szCs w:val="22"/>
        </w:rPr>
        <w:t xml:space="preserve">To be clear, the following is a gender pay report for </w:t>
      </w:r>
      <w:r>
        <w:rPr>
          <w:sz w:val="22"/>
          <w:szCs w:val="22"/>
        </w:rPr>
        <w:t>LET</w:t>
      </w:r>
      <w:r w:rsidRPr="00A462B1">
        <w:rPr>
          <w:sz w:val="22"/>
          <w:szCs w:val="22"/>
        </w:rPr>
        <w:t xml:space="preserve"> </w:t>
      </w:r>
      <w:r>
        <w:rPr>
          <w:sz w:val="22"/>
          <w:szCs w:val="22"/>
        </w:rPr>
        <w:t xml:space="preserve">employed Doctors and Dentists in training across the </w:t>
      </w:r>
      <w:proofErr w:type="gramStart"/>
      <w:r>
        <w:rPr>
          <w:sz w:val="22"/>
          <w:szCs w:val="22"/>
        </w:rPr>
        <w:t>North East</w:t>
      </w:r>
      <w:proofErr w:type="gramEnd"/>
      <w:r>
        <w:rPr>
          <w:sz w:val="22"/>
          <w:szCs w:val="22"/>
        </w:rPr>
        <w:t xml:space="preserve"> and North Cumbria. </w:t>
      </w:r>
    </w:p>
    <w:p w14:paraId="2E004C85" w14:textId="77777777" w:rsidR="00614C1A" w:rsidRPr="007743D9" w:rsidRDefault="00614C1A" w:rsidP="00614C1A">
      <w:pPr>
        <w:pStyle w:val="Default"/>
        <w:rPr>
          <w:sz w:val="22"/>
          <w:szCs w:val="22"/>
          <w:highlight w:val="yellow"/>
        </w:rPr>
      </w:pPr>
    </w:p>
    <w:p w14:paraId="5C845D73" w14:textId="77777777" w:rsidR="00614C1A" w:rsidRPr="00601FB2" w:rsidRDefault="00614C1A" w:rsidP="00614C1A">
      <w:pPr>
        <w:pStyle w:val="Default"/>
        <w:rPr>
          <w:sz w:val="22"/>
          <w:szCs w:val="22"/>
        </w:rPr>
      </w:pPr>
      <w:r w:rsidRPr="00601FB2">
        <w:rPr>
          <w:sz w:val="22"/>
          <w:szCs w:val="22"/>
        </w:rPr>
        <w:t>The results of the report will be used to assess:</w:t>
      </w:r>
    </w:p>
    <w:p w14:paraId="5D01DFC7" w14:textId="77777777" w:rsidR="00614C1A" w:rsidRPr="00601FB2" w:rsidRDefault="00614C1A" w:rsidP="00614C1A">
      <w:pPr>
        <w:pStyle w:val="Default"/>
        <w:rPr>
          <w:sz w:val="22"/>
          <w:szCs w:val="22"/>
        </w:rPr>
      </w:pPr>
    </w:p>
    <w:p w14:paraId="2BF2B31B" w14:textId="77777777" w:rsidR="00614C1A" w:rsidRPr="00601FB2" w:rsidRDefault="00614C1A" w:rsidP="00614C1A">
      <w:pPr>
        <w:pStyle w:val="Default"/>
        <w:spacing w:after="30"/>
        <w:ind w:left="720"/>
        <w:rPr>
          <w:sz w:val="22"/>
          <w:szCs w:val="22"/>
        </w:rPr>
      </w:pPr>
      <w:r w:rsidRPr="00601FB2">
        <w:rPr>
          <w:sz w:val="22"/>
          <w:szCs w:val="22"/>
        </w:rPr>
        <w:t xml:space="preserve">• the levels of gender equality in our workplace </w:t>
      </w:r>
    </w:p>
    <w:p w14:paraId="18CDD62C" w14:textId="77777777" w:rsidR="00614C1A" w:rsidRPr="00601FB2" w:rsidRDefault="00614C1A" w:rsidP="00614C1A">
      <w:pPr>
        <w:pStyle w:val="Default"/>
        <w:spacing w:after="30"/>
        <w:ind w:left="720"/>
        <w:rPr>
          <w:sz w:val="22"/>
          <w:szCs w:val="22"/>
        </w:rPr>
      </w:pPr>
      <w:r w:rsidRPr="00601FB2">
        <w:rPr>
          <w:sz w:val="22"/>
          <w:szCs w:val="22"/>
        </w:rPr>
        <w:t xml:space="preserve">• the balance of male and female employees at different levels </w:t>
      </w:r>
    </w:p>
    <w:p w14:paraId="2B9E14C7" w14:textId="77777777" w:rsidR="00614C1A" w:rsidRPr="00601FB2" w:rsidRDefault="00614C1A" w:rsidP="00614C1A">
      <w:pPr>
        <w:pStyle w:val="Default"/>
        <w:ind w:left="720"/>
        <w:rPr>
          <w:sz w:val="22"/>
          <w:szCs w:val="22"/>
        </w:rPr>
      </w:pPr>
      <w:r w:rsidRPr="00601FB2">
        <w:rPr>
          <w:sz w:val="22"/>
          <w:szCs w:val="22"/>
        </w:rPr>
        <w:t>• how effectively talent is being maximised and rewarded</w:t>
      </w:r>
    </w:p>
    <w:p w14:paraId="6A8FD202" w14:textId="77777777" w:rsidR="00614C1A" w:rsidRPr="00601FB2" w:rsidRDefault="00614C1A" w:rsidP="00614C1A">
      <w:pPr>
        <w:pStyle w:val="Default"/>
        <w:rPr>
          <w:sz w:val="22"/>
          <w:szCs w:val="22"/>
        </w:rPr>
      </w:pPr>
    </w:p>
    <w:p w14:paraId="2A788E04" w14:textId="77777777" w:rsidR="00614C1A" w:rsidRDefault="00614C1A" w:rsidP="00614C1A">
      <w:pPr>
        <w:pStyle w:val="Default"/>
        <w:rPr>
          <w:sz w:val="22"/>
          <w:szCs w:val="22"/>
        </w:rPr>
      </w:pPr>
      <w:r w:rsidRPr="00601FB2">
        <w:rPr>
          <w:sz w:val="22"/>
          <w:szCs w:val="22"/>
        </w:rPr>
        <w:t>The challenge in our organisation and across the United Kingdom is to eliminate any gender pay gap.</w:t>
      </w:r>
      <w:r>
        <w:rPr>
          <w:sz w:val="22"/>
          <w:szCs w:val="22"/>
        </w:rPr>
        <w:t xml:space="preserve"> </w:t>
      </w:r>
    </w:p>
    <w:p w14:paraId="6DECE985" w14:textId="77777777" w:rsidR="00614C1A" w:rsidRDefault="00614C1A" w:rsidP="00614C1A">
      <w:pPr>
        <w:pStyle w:val="Default"/>
        <w:rPr>
          <w:b/>
          <w:bCs/>
          <w:sz w:val="22"/>
          <w:szCs w:val="22"/>
        </w:rPr>
      </w:pPr>
    </w:p>
    <w:p w14:paraId="34C78AC1" w14:textId="77777777" w:rsidR="00614C1A" w:rsidRDefault="00614C1A" w:rsidP="00614C1A">
      <w:pPr>
        <w:pStyle w:val="Default"/>
        <w:rPr>
          <w:b/>
          <w:bCs/>
          <w:sz w:val="22"/>
          <w:szCs w:val="22"/>
        </w:rPr>
      </w:pPr>
    </w:p>
    <w:p w14:paraId="6622D644" w14:textId="77777777" w:rsidR="00614C1A" w:rsidRPr="00BF7D38" w:rsidRDefault="00614C1A" w:rsidP="00614C1A">
      <w:pPr>
        <w:pStyle w:val="Default"/>
        <w:rPr>
          <w:sz w:val="22"/>
          <w:szCs w:val="22"/>
        </w:rPr>
      </w:pPr>
      <w:r>
        <w:rPr>
          <w:b/>
          <w:bCs/>
          <w:sz w:val="22"/>
          <w:szCs w:val="22"/>
        </w:rPr>
        <w:t>2.0</w:t>
      </w:r>
      <w:r w:rsidRPr="00BF7D38">
        <w:rPr>
          <w:b/>
          <w:bCs/>
          <w:sz w:val="22"/>
          <w:szCs w:val="22"/>
        </w:rPr>
        <w:t xml:space="preserve"> Gender Pay Gap </w:t>
      </w:r>
    </w:p>
    <w:p w14:paraId="6182EBD5" w14:textId="77777777" w:rsidR="00614C1A" w:rsidRPr="00BF7D38" w:rsidRDefault="00614C1A" w:rsidP="00614C1A">
      <w:pPr>
        <w:pStyle w:val="Default"/>
        <w:rPr>
          <w:sz w:val="22"/>
          <w:szCs w:val="22"/>
        </w:rPr>
      </w:pPr>
    </w:p>
    <w:p w14:paraId="2DD47384" w14:textId="77777777" w:rsidR="00614C1A" w:rsidRDefault="00614C1A" w:rsidP="00614C1A">
      <w:pPr>
        <w:pStyle w:val="Default"/>
        <w:rPr>
          <w:sz w:val="22"/>
          <w:szCs w:val="22"/>
        </w:rPr>
      </w:pPr>
    </w:p>
    <w:p w14:paraId="4A604DD1" w14:textId="29F8AEE2" w:rsidR="00614C1A" w:rsidRDefault="00614C1A" w:rsidP="00614C1A">
      <w:pPr>
        <w:pStyle w:val="Default"/>
        <w:rPr>
          <w:sz w:val="22"/>
          <w:szCs w:val="22"/>
        </w:rPr>
      </w:pPr>
      <w:r w:rsidRPr="006B7410">
        <w:rPr>
          <w:sz w:val="22"/>
          <w:szCs w:val="22"/>
        </w:rPr>
        <w:t xml:space="preserve">The gender pay gap for </w:t>
      </w:r>
      <w:r>
        <w:rPr>
          <w:sz w:val="22"/>
          <w:szCs w:val="22"/>
        </w:rPr>
        <w:t>the LET</w:t>
      </w:r>
      <w:r w:rsidRPr="006B7410">
        <w:rPr>
          <w:sz w:val="22"/>
          <w:szCs w:val="22"/>
        </w:rPr>
        <w:t xml:space="preserve">, </w:t>
      </w:r>
      <w:r w:rsidRPr="00DB1015">
        <w:rPr>
          <w:sz w:val="22"/>
          <w:szCs w:val="22"/>
        </w:rPr>
        <w:t xml:space="preserve">measured by </w:t>
      </w:r>
      <w:r w:rsidRPr="00DB1015">
        <w:rPr>
          <w:b/>
          <w:bCs/>
          <w:sz w:val="22"/>
          <w:szCs w:val="22"/>
        </w:rPr>
        <w:t xml:space="preserve">median </w:t>
      </w:r>
      <w:r w:rsidRPr="00DB1015">
        <w:rPr>
          <w:sz w:val="22"/>
          <w:szCs w:val="22"/>
        </w:rPr>
        <w:t xml:space="preserve">hourly rate, is </w:t>
      </w:r>
      <w:r w:rsidR="002A7BD5" w:rsidRPr="00DB1015">
        <w:rPr>
          <w:sz w:val="22"/>
          <w:szCs w:val="22"/>
        </w:rPr>
        <w:t>£23.</w:t>
      </w:r>
      <w:r w:rsidR="00150C86">
        <w:rPr>
          <w:sz w:val="22"/>
          <w:szCs w:val="22"/>
        </w:rPr>
        <w:t>75</w:t>
      </w:r>
      <w:r>
        <w:rPr>
          <w:b/>
          <w:bCs/>
          <w:sz w:val="22"/>
          <w:szCs w:val="22"/>
        </w:rPr>
        <w:t xml:space="preserve"> </w:t>
      </w:r>
      <w:r w:rsidRPr="006B7410">
        <w:rPr>
          <w:sz w:val="22"/>
          <w:szCs w:val="22"/>
        </w:rPr>
        <w:t>The calculations were obtained from the ESR system which have been nationally determined and are in line with regulations. For this calculation “actual pay” was used which includes basic pay, allowances, pay for leave and shift premium pay. It is important to note that anyone who is in a period of no pay (e.g. maternity leave, sickness, special leave) will not appear in the figures.</w:t>
      </w:r>
    </w:p>
    <w:p w14:paraId="6B9633F9" w14:textId="77777777" w:rsidR="00614C1A" w:rsidRDefault="00614C1A" w:rsidP="00614C1A">
      <w:pPr>
        <w:pStyle w:val="Default"/>
        <w:rPr>
          <w:sz w:val="22"/>
          <w:szCs w:val="22"/>
        </w:rPr>
      </w:pPr>
    </w:p>
    <w:p w14:paraId="7C54CA9E" w14:textId="3D686373" w:rsidR="00614C1A" w:rsidRDefault="00614C1A" w:rsidP="00614C1A">
      <w:pPr>
        <w:pStyle w:val="Default"/>
        <w:pageBreakBefore/>
        <w:rPr>
          <w:sz w:val="22"/>
          <w:szCs w:val="22"/>
        </w:rPr>
      </w:pPr>
      <w:r w:rsidRPr="006B7410">
        <w:rPr>
          <w:sz w:val="22"/>
          <w:szCs w:val="22"/>
        </w:rPr>
        <w:lastRenderedPageBreak/>
        <w:t xml:space="preserve">The below table shows the median hourly rate and the mean hourly rate for </w:t>
      </w:r>
      <w:r>
        <w:rPr>
          <w:sz w:val="22"/>
          <w:szCs w:val="22"/>
        </w:rPr>
        <w:t>m</w:t>
      </w:r>
      <w:r w:rsidRPr="006B7410">
        <w:rPr>
          <w:sz w:val="22"/>
          <w:szCs w:val="22"/>
        </w:rPr>
        <w:t xml:space="preserve">ales and </w:t>
      </w:r>
      <w:r>
        <w:rPr>
          <w:sz w:val="22"/>
          <w:szCs w:val="22"/>
        </w:rPr>
        <w:t>f</w:t>
      </w:r>
      <w:r w:rsidRPr="006B7410">
        <w:rPr>
          <w:sz w:val="22"/>
          <w:szCs w:val="22"/>
        </w:rPr>
        <w:t xml:space="preserve">emales employed by </w:t>
      </w:r>
      <w:r>
        <w:rPr>
          <w:sz w:val="22"/>
          <w:szCs w:val="22"/>
        </w:rPr>
        <w:t>the LET</w:t>
      </w:r>
      <w:r w:rsidRPr="006B7410">
        <w:rPr>
          <w:sz w:val="22"/>
          <w:szCs w:val="22"/>
        </w:rPr>
        <w:t xml:space="preserve">. This is calculated using the pay each employee received within the snapshot period of </w:t>
      </w:r>
      <w:r>
        <w:rPr>
          <w:sz w:val="22"/>
          <w:szCs w:val="22"/>
        </w:rPr>
        <w:t xml:space="preserve">the month including </w:t>
      </w:r>
      <w:r w:rsidRPr="006B7410">
        <w:rPr>
          <w:sz w:val="22"/>
          <w:szCs w:val="22"/>
        </w:rPr>
        <w:t>31 March 202</w:t>
      </w:r>
      <w:r w:rsidR="00F70744">
        <w:rPr>
          <w:sz w:val="22"/>
          <w:szCs w:val="22"/>
        </w:rPr>
        <w:t>2</w:t>
      </w:r>
      <w:r w:rsidRPr="006B7410">
        <w:rPr>
          <w:sz w:val="22"/>
          <w:szCs w:val="22"/>
        </w:rPr>
        <w:t xml:space="preserve">. </w:t>
      </w:r>
      <w:r>
        <w:rPr>
          <w:sz w:val="22"/>
          <w:szCs w:val="22"/>
        </w:rPr>
        <w:t xml:space="preserve">The table shows that a male, </w:t>
      </w:r>
      <w:r w:rsidRPr="00DB1015">
        <w:rPr>
          <w:sz w:val="22"/>
          <w:szCs w:val="22"/>
        </w:rPr>
        <w:t>on average, is paid £0.</w:t>
      </w:r>
      <w:r w:rsidR="00150C86">
        <w:rPr>
          <w:sz w:val="22"/>
          <w:szCs w:val="22"/>
        </w:rPr>
        <w:t>20</w:t>
      </w:r>
      <w:r w:rsidR="00054693" w:rsidRPr="00DB1015">
        <w:rPr>
          <w:sz w:val="22"/>
          <w:szCs w:val="22"/>
        </w:rPr>
        <w:t xml:space="preserve"> </w:t>
      </w:r>
      <w:r w:rsidRPr="00DB1015">
        <w:rPr>
          <w:sz w:val="22"/>
          <w:szCs w:val="22"/>
        </w:rPr>
        <w:t>per hour more than a female, this is a</w:t>
      </w:r>
      <w:r w:rsidR="00DB1015" w:rsidRPr="00DB1015">
        <w:rPr>
          <w:sz w:val="22"/>
          <w:szCs w:val="22"/>
        </w:rPr>
        <w:t>n</w:t>
      </w:r>
      <w:r w:rsidRPr="00DB1015">
        <w:rPr>
          <w:sz w:val="22"/>
          <w:szCs w:val="22"/>
        </w:rPr>
        <w:t xml:space="preserve"> </w:t>
      </w:r>
      <w:r w:rsidR="00054693" w:rsidRPr="00DB1015">
        <w:rPr>
          <w:sz w:val="22"/>
          <w:szCs w:val="22"/>
        </w:rPr>
        <w:t>increase</w:t>
      </w:r>
      <w:r w:rsidRPr="00DB1015">
        <w:rPr>
          <w:sz w:val="22"/>
          <w:szCs w:val="22"/>
        </w:rPr>
        <w:t xml:space="preserve"> from £0.</w:t>
      </w:r>
      <w:r w:rsidR="00150C86">
        <w:rPr>
          <w:sz w:val="22"/>
          <w:szCs w:val="22"/>
        </w:rPr>
        <w:t>20</w:t>
      </w:r>
      <w:r w:rsidRPr="00DB1015">
        <w:rPr>
          <w:sz w:val="22"/>
          <w:szCs w:val="22"/>
        </w:rPr>
        <w:t xml:space="preserve"> per hour at the month including 31 March 202</w:t>
      </w:r>
      <w:r w:rsidR="00150C86">
        <w:rPr>
          <w:sz w:val="22"/>
          <w:szCs w:val="22"/>
        </w:rPr>
        <w:t>3</w:t>
      </w:r>
      <w:r w:rsidRPr="00DB1015">
        <w:rPr>
          <w:sz w:val="22"/>
          <w:szCs w:val="22"/>
        </w:rPr>
        <w:t>.</w:t>
      </w:r>
      <w:r>
        <w:rPr>
          <w:sz w:val="22"/>
          <w:szCs w:val="22"/>
        </w:rPr>
        <w:t xml:space="preserve"> </w:t>
      </w:r>
    </w:p>
    <w:p w14:paraId="146A41F8" w14:textId="792E430D" w:rsidR="00831860" w:rsidRDefault="00831860"/>
    <w:tbl>
      <w:tblPr>
        <w:tblW w:w="9140" w:type="dxa"/>
        <w:tblLook w:val="04A0" w:firstRow="1" w:lastRow="0" w:firstColumn="1" w:lastColumn="0" w:noHBand="0" w:noVBand="1"/>
      </w:tblPr>
      <w:tblGrid>
        <w:gridCol w:w="4169"/>
        <w:gridCol w:w="2316"/>
        <w:gridCol w:w="2655"/>
      </w:tblGrid>
      <w:tr w:rsidR="00614C1A" w:rsidRPr="004A7C83" w14:paraId="79B61849" w14:textId="77777777" w:rsidTr="00614C1A">
        <w:trPr>
          <w:trHeight w:val="445"/>
        </w:trPr>
        <w:tc>
          <w:tcPr>
            <w:tcW w:w="4169" w:type="dxa"/>
            <w:tcBorders>
              <w:top w:val="single" w:sz="4" w:space="0" w:color="979991"/>
              <w:left w:val="single" w:sz="4" w:space="0" w:color="979991"/>
              <w:bottom w:val="nil"/>
              <w:right w:val="nil"/>
            </w:tcBorders>
            <w:shd w:val="clear" w:color="000000" w:fill="0066CC"/>
            <w:hideMark/>
          </w:tcPr>
          <w:p w14:paraId="72005315"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Gender</w:t>
            </w:r>
          </w:p>
        </w:tc>
        <w:tc>
          <w:tcPr>
            <w:tcW w:w="2316" w:type="dxa"/>
            <w:tcBorders>
              <w:top w:val="single" w:sz="4" w:space="0" w:color="979991"/>
              <w:left w:val="single" w:sz="4" w:space="0" w:color="979991"/>
              <w:bottom w:val="single" w:sz="4" w:space="0" w:color="979991"/>
              <w:right w:val="nil"/>
            </w:tcBorders>
            <w:shd w:val="clear" w:color="000000" w:fill="0066CC"/>
            <w:hideMark/>
          </w:tcPr>
          <w:p w14:paraId="11804258" w14:textId="37BE489D" w:rsidR="00614C1A" w:rsidRPr="004A7C83" w:rsidRDefault="0041069B" w:rsidP="00D94819">
            <w:pPr>
              <w:spacing w:after="0" w:line="240" w:lineRule="auto"/>
              <w:rPr>
                <w:rFonts w:ascii="Calibri" w:eastAsia="Times New Roman" w:hAnsi="Calibri" w:cs="Calibri"/>
                <w:b/>
                <w:bCs/>
                <w:color w:val="FFFFFF"/>
                <w:lang w:eastAsia="en-GB"/>
              </w:rPr>
            </w:pPr>
            <w:r>
              <w:rPr>
                <w:rFonts w:ascii="Calibri" w:eastAsia="Times New Roman" w:hAnsi="Calibri" w:cs="Calibri"/>
                <w:b/>
                <w:bCs/>
                <w:color w:val="FFFFFF"/>
                <w:lang w:eastAsia="en-GB"/>
              </w:rPr>
              <w:t>Mean</w:t>
            </w:r>
            <w:r w:rsidR="00614C1A" w:rsidRPr="004A7C83">
              <w:rPr>
                <w:rFonts w:ascii="Calibri" w:eastAsia="Times New Roman" w:hAnsi="Calibri" w:cs="Calibri"/>
                <w:b/>
                <w:bCs/>
                <w:color w:val="FFFFFF"/>
                <w:lang w:eastAsia="en-GB"/>
              </w:rPr>
              <w:t xml:space="preserve"> Hourly Rate</w:t>
            </w:r>
          </w:p>
        </w:tc>
        <w:tc>
          <w:tcPr>
            <w:tcW w:w="2655" w:type="dxa"/>
            <w:tcBorders>
              <w:top w:val="single" w:sz="4" w:space="0" w:color="979991"/>
              <w:left w:val="single" w:sz="4" w:space="0" w:color="979991"/>
              <w:bottom w:val="single" w:sz="4" w:space="0" w:color="979991"/>
              <w:right w:val="single" w:sz="4" w:space="0" w:color="979991"/>
            </w:tcBorders>
            <w:shd w:val="clear" w:color="000000" w:fill="0066CC"/>
            <w:hideMark/>
          </w:tcPr>
          <w:p w14:paraId="007DEB3C"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Median Hourly Rate</w:t>
            </w:r>
          </w:p>
        </w:tc>
      </w:tr>
      <w:tr w:rsidR="00614C1A" w:rsidRPr="004A7C83" w14:paraId="041FE363" w14:textId="77777777" w:rsidTr="00614C1A">
        <w:trPr>
          <w:trHeight w:val="445"/>
        </w:trPr>
        <w:tc>
          <w:tcPr>
            <w:tcW w:w="4169" w:type="dxa"/>
            <w:tcBorders>
              <w:top w:val="single" w:sz="4" w:space="0" w:color="979991"/>
              <w:left w:val="single" w:sz="4" w:space="0" w:color="979991"/>
              <w:bottom w:val="single" w:sz="4" w:space="0" w:color="979991"/>
              <w:right w:val="nil"/>
            </w:tcBorders>
            <w:shd w:val="clear" w:color="000000" w:fill="0066CC"/>
            <w:hideMark/>
          </w:tcPr>
          <w:p w14:paraId="59CEB143"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Male</w:t>
            </w:r>
          </w:p>
        </w:tc>
        <w:tc>
          <w:tcPr>
            <w:tcW w:w="2316" w:type="dxa"/>
            <w:tcBorders>
              <w:top w:val="nil"/>
              <w:left w:val="single" w:sz="4" w:space="0" w:color="979991"/>
              <w:bottom w:val="single" w:sz="4" w:space="0" w:color="979991"/>
              <w:right w:val="nil"/>
            </w:tcBorders>
            <w:shd w:val="clear" w:color="000000" w:fill="FFFFFF"/>
            <w:hideMark/>
          </w:tcPr>
          <w:p w14:paraId="69734FBF" w14:textId="46CFB926" w:rsidR="00614C1A" w:rsidRPr="00DB1015" w:rsidRDefault="00EE3434" w:rsidP="00D94819">
            <w:pPr>
              <w:spacing w:after="0" w:line="240" w:lineRule="auto"/>
              <w:jc w:val="right"/>
              <w:rPr>
                <w:rFonts w:ascii="Calibri" w:eastAsia="Times New Roman" w:hAnsi="Calibri" w:cs="Calibri"/>
                <w:color w:val="000000"/>
                <w:lang w:eastAsia="en-GB"/>
              </w:rPr>
            </w:pPr>
            <w:r w:rsidRPr="00DB1015">
              <w:rPr>
                <w:rFonts w:ascii="Calibri" w:eastAsia="Times New Roman" w:hAnsi="Calibri" w:cs="Calibri"/>
                <w:color w:val="000000"/>
                <w:lang w:eastAsia="en-GB"/>
              </w:rPr>
              <w:t>24.</w:t>
            </w:r>
            <w:r w:rsidR="001A734C">
              <w:rPr>
                <w:rFonts w:ascii="Calibri" w:eastAsia="Times New Roman" w:hAnsi="Calibri" w:cs="Calibri"/>
                <w:color w:val="000000"/>
                <w:lang w:eastAsia="en-GB"/>
              </w:rPr>
              <w:t>6659</w:t>
            </w:r>
          </w:p>
        </w:tc>
        <w:tc>
          <w:tcPr>
            <w:tcW w:w="2655" w:type="dxa"/>
            <w:tcBorders>
              <w:top w:val="nil"/>
              <w:left w:val="single" w:sz="4" w:space="0" w:color="979991"/>
              <w:bottom w:val="single" w:sz="4" w:space="0" w:color="979991"/>
              <w:right w:val="single" w:sz="4" w:space="0" w:color="979991"/>
            </w:tcBorders>
            <w:shd w:val="clear" w:color="000000" w:fill="FFFFFF"/>
            <w:hideMark/>
          </w:tcPr>
          <w:p w14:paraId="07C74E9F" w14:textId="7D3C368F" w:rsidR="00614C1A" w:rsidRPr="00DB1015" w:rsidRDefault="00296D86" w:rsidP="00D94819">
            <w:pPr>
              <w:spacing w:after="0" w:line="240" w:lineRule="auto"/>
              <w:jc w:val="right"/>
              <w:rPr>
                <w:rFonts w:ascii="Calibri" w:eastAsia="Times New Roman" w:hAnsi="Calibri" w:cs="Calibri"/>
                <w:color w:val="000000"/>
                <w:lang w:eastAsia="en-GB"/>
              </w:rPr>
            </w:pPr>
            <w:r w:rsidRPr="00DB1015">
              <w:rPr>
                <w:rFonts w:ascii="Calibri" w:eastAsia="Times New Roman" w:hAnsi="Calibri" w:cs="Calibri"/>
                <w:color w:val="000000"/>
                <w:lang w:eastAsia="en-GB"/>
              </w:rPr>
              <w:t>23.</w:t>
            </w:r>
            <w:r w:rsidR="001A734C">
              <w:rPr>
                <w:rFonts w:ascii="Calibri" w:eastAsia="Times New Roman" w:hAnsi="Calibri" w:cs="Calibri"/>
                <w:color w:val="000000"/>
                <w:lang w:eastAsia="en-GB"/>
              </w:rPr>
              <w:t>8226</w:t>
            </w:r>
          </w:p>
        </w:tc>
      </w:tr>
      <w:tr w:rsidR="00614C1A" w:rsidRPr="004A7C83" w14:paraId="6E0074C1" w14:textId="77777777" w:rsidTr="00614C1A">
        <w:trPr>
          <w:trHeight w:val="445"/>
        </w:trPr>
        <w:tc>
          <w:tcPr>
            <w:tcW w:w="4169" w:type="dxa"/>
            <w:tcBorders>
              <w:top w:val="nil"/>
              <w:left w:val="single" w:sz="4" w:space="0" w:color="979991"/>
              <w:bottom w:val="single" w:sz="4" w:space="0" w:color="979991"/>
              <w:right w:val="nil"/>
            </w:tcBorders>
            <w:shd w:val="clear" w:color="000000" w:fill="0066CC"/>
            <w:hideMark/>
          </w:tcPr>
          <w:p w14:paraId="5662F43A"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Female</w:t>
            </w:r>
          </w:p>
        </w:tc>
        <w:tc>
          <w:tcPr>
            <w:tcW w:w="2316" w:type="dxa"/>
            <w:tcBorders>
              <w:top w:val="nil"/>
              <w:left w:val="single" w:sz="4" w:space="0" w:color="979991"/>
              <w:bottom w:val="single" w:sz="4" w:space="0" w:color="979991"/>
              <w:right w:val="nil"/>
            </w:tcBorders>
            <w:shd w:val="clear" w:color="000000" w:fill="FFFFFF"/>
            <w:hideMark/>
          </w:tcPr>
          <w:p w14:paraId="2D4035CE" w14:textId="4A3E88DB" w:rsidR="00614C1A" w:rsidRPr="00DB1015" w:rsidRDefault="00296D86" w:rsidP="00D94819">
            <w:pPr>
              <w:spacing w:after="0" w:line="240" w:lineRule="auto"/>
              <w:jc w:val="right"/>
              <w:rPr>
                <w:rFonts w:ascii="Calibri" w:eastAsia="Times New Roman" w:hAnsi="Calibri" w:cs="Calibri"/>
                <w:color w:val="000000"/>
                <w:lang w:eastAsia="en-GB"/>
              </w:rPr>
            </w:pPr>
            <w:r w:rsidRPr="00DB1015">
              <w:rPr>
                <w:rFonts w:ascii="Calibri" w:eastAsia="Times New Roman" w:hAnsi="Calibri" w:cs="Calibri"/>
                <w:color w:val="000000"/>
                <w:lang w:eastAsia="en-GB"/>
              </w:rPr>
              <w:t>24.</w:t>
            </w:r>
            <w:r w:rsidR="001A734C">
              <w:rPr>
                <w:rFonts w:ascii="Calibri" w:eastAsia="Times New Roman" w:hAnsi="Calibri" w:cs="Calibri"/>
                <w:color w:val="000000"/>
                <w:lang w:eastAsia="en-GB"/>
              </w:rPr>
              <w:t>3444</w:t>
            </w:r>
          </w:p>
        </w:tc>
        <w:tc>
          <w:tcPr>
            <w:tcW w:w="2655" w:type="dxa"/>
            <w:tcBorders>
              <w:top w:val="nil"/>
              <w:left w:val="single" w:sz="4" w:space="0" w:color="979991"/>
              <w:bottom w:val="single" w:sz="4" w:space="0" w:color="979991"/>
              <w:right w:val="single" w:sz="4" w:space="0" w:color="979991"/>
            </w:tcBorders>
            <w:shd w:val="clear" w:color="000000" w:fill="FFFFFF"/>
            <w:hideMark/>
          </w:tcPr>
          <w:p w14:paraId="135CE66C" w14:textId="6B34D13E" w:rsidR="00614C1A" w:rsidRPr="00DB1015" w:rsidRDefault="001A734C" w:rsidP="00D9481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23.6853</w:t>
            </w:r>
          </w:p>
        </w:tc>
      </w:tr>
      <w:tr w:rsidR="00614C1A" w:rsidRPr="004A7C83" w14:paraId="03B6FB5D" w14:textId="77777777" w:rsidTr="00614C1A">
        <w:trPr>
          <w:trHeight w:val="445"/>
        </w:trPr>
        <w:tc>
          <w:tcPr>
            <w:tcW w:w="4169" w:type="dxa"/>
            <w:tcBorders>
              <w:top w:val="nil"/>
              <w:left w:val="single" w:sz="4" w:space="0" w:color="979991"/>
              <w:bottom w:val="single" w:sz="4" w:space="0" w:color="979991"/>
              <w:right w:val="nil"/>
            </w:tcBorders>
            <w:shd w:val="clear" w:color="000000" w:fill="0066CC"/>
            <w:hideMark/>
          </w:tcPr>
          <w:p w14:paraId="228C00CF"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Difference</w:t>
            </w:r>
          </w:p>
        </w:tc>
        <w:tc>
          <w:tcPr>
            <w:tcW w:w="2316" w:type="dxa"/>
            <w:tcBorders>
              <w:top w:val="nil"/>
              <w:left w:val="single" w:sz="4" w:space="0" w:color="979991"/>
              <w:bottom w:val="single" w:sz="4" w:space="0" w:color="979991"/>
              <w:right w:val="nil"/>
            </w:tcBorders>
            <w:shd w:val="clear" w:color="000000" w:fill="FFFFFF"/>
            <w:hideMark/>
          </w:tcPr>
          <w:p w14:paraId="7007BFDE" w14:textId="50A4ADCB" w:rsidR="00614C1A" w:rsidRPr="00DB1015" w:rsidRDefault="00F70744" w:rsidP="00D94819">
            <w:pPr>
              <w:spacing w:after="0" w:line="240" w:lineRule="auto"/>
              <w:jc w:val="right"/>
              <w:rPr>
                <w:rFonts w:ascii="Calibri" w:eastAsia="Times New Roman" w:hAnsi="Calibri" w:cs="Calibri"/>
                <w:color w:val="000000"/>
                <w:lang w:eastAsia="en-GB"/>
              </w:rPr>
            </w:pPr>
            <w:r w:rsidRPr="00DB1015">
              <w:rPr>
                <w:rFonts w:ascii="Calibri" w:eastAsia="Times New Roman" w:hAnsi="Calibri" w:cs="Calibri"/>
                <w:color w:val="000000"/>
                <w:lang w:eastAsia="en-GB"/>
              </w:rPr>
              <w:t>0.3</w:t>
            </w:r>
            <w:r w:rsidR="001A734C">
              <w:rPr>
                <w:rFonts w:ascii="Calibri" w:eastAsia="Times New Roman" w:hAnsi="Calibri" w:cs="Calibri"/>
                <w:color w:val="000000"/>
                <w:lang w:eastAsia="en-GB"/>
              </w:rPr>
              <w:t>215</w:t>
            </w:r>
          </w:p>
        </w:tc>
        <w:tc>
          <w:tcPr>
            <w:tcW w:w="2655" w:type="dxa"/>
            <w:tcBorders>
              <w:top w:val="nil"/>
              <w:left w:val="single" w:sz="4" w:space="0" w:color="979991"/>
              <w:bottom w:val="single" w:sz="4" w:space="0" w:color="979991"/>
              <w:right w:val="single" w:sz="4" w:space="0" w:color="979991"/>
            </w:tcBorders>
            <w:shd w:val="clear" w:color="000000" w:fill="FFFFFF"/>
            <w:hideMark/>
          </w:tcPr>
          <w:p w14:paraId="74588A1A" w14:textId="727DF631" w:rsidR="00614C1A" w:rsidRPr="00DB1015" w:rsidRDefault="001A734C" w:rsidP="00D9481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0.1373</w:t>
            </w:r>
          </w:p>
        </w:tc>
      </w:tr>
      <w:tr w:rsidR="00614C1A" w:rsidRPr="004A7C83" w14:paraId="68D7AEE8" w14:textId="77777777" w:rsidTr="00614C1A">
        <w:trPr>
          <w:trHeight w:val="445"/>
        </w:trPr>
        <w:tc>
          <w:tcPr>
            <w:tcW w:w="4169" w:type="dxa"/>
            <w:tcBorders>
              <w:top w:val="nil"/>
              <w:left w:val="single" w:sz="4" w:space="0" w:color="979991"/>
              <w:bottom w:val="single" w:sz="4" w:space="0" w:color="979991"/>
              <w:right w:val="nil"/>
            </w:tcBorders>
            <w:shd w:val="clear" w:color="000000" w:fill="0066CC"/>
            <w:hideMark/>
          </w:tcPr>
          <w:p w14:paraId="1DD5D243" w14:textId="77777777" w:rsidR="00614C1A" w:rsidRPr="004A7C83" w:rsidRDefault="00614C1A" w:rsidP="00D94819">
            <w:pPr>
              <w:spacing w:after="0" w:line="240" w:lineRule="auto"/>
              <w:rPr>
                <w:rFonts w:ascii="Calibri" w:eastAsia="Times New Roman" w:hAnsi="Calibri" w:cs="Calibri"/>
                <w:b/>
                <w:bCs/>
                <w:color w:val="FFFFFF"/>
                <w:lang w:eastAsia="en-GB"/>
              </w:rPr>
            </w:pPr>
            <w:r w:rsidRPr="004A7C83">
              <w:rPr>
                <w:rFonts w:ascii="Calibri" w:eastAsia="Times New Roman" w:hAnsi="Calibri" w:cs="Calibri"/>
                <w:b/>
                <w:bCs/>
                <w:color w:val="FFFFFF"/>
                <w:lang w:eastAsia="en-GB"/>
              </w:rPr>
              <w:t>Pay Gap %</w:t>
            </w:r>
          </w:p>
        </w:tc>
        <w:tc>
          <w:tcPr>
            <w:tcW w:w="2316" w:type="dxa"/>
            <w:tcBorders>
              <w:top w:val="nil"/>
              <w:left w:val="single" w:sz="4" w:space="0" w:color="979991"/>
              <w:bottom w:val="single" w:sz="4" w:space="0" w:color="979991"/>
              <w:right w:val="nil"/>
            </w:tcBorders>
            <w:shd w:val="clear" w:color="000000" w:fill="FFFFFF"/>
            <w:hideMark/>
          </w:tcPr>
          <w:p w14:paraId="2EF02603" w14:textId="03F8D4D1" w:rsidR="00614C1A" w:rsidRPr="00DB1015" w:rsidRDefault="00F70744" w:rsidP="00054693">
            <w:pPr>
              <w:spacing w:after="0" w:line="240" w:lineRule="auto"/>
              <w:jc w:val="right"/>
              <w:rPr>
                <w:rFonts w:ascii="Calibri" w:eastAsia="Times New Roman" w:hAnsi="Calibri" w:cs="Calibri"/>
                <w:color w:val="000000"/>
                <w:lang w:eastAsia="en-GB"/>
              </w:rPr>
            </w:pPr>
            <w:r w:rsidRPr="00DB1015">
              <w:rPr>
                <w:rFonts w:ascii="Calibri" w:eastAsia="Times New Roman" w:hAnsi="Calibri" w:cs="Calibri"/>
                <w:color w:val="000000"/>
                <w:lang w:eastAsia="en-GB"/>
              </w:rPr>
              <w:t>1.</w:t>
            </w:r>
            <w:r w:rsidR="001A734C">
              <w:rPr>
                <w:rFonts w:ascii="Calibri" w:eastAsia="Times New Roman" w:hAnsi="Calibri" w:cs="Calibri"/>
                <w:color w:val="000000"/>
                <w:lang w:eastAsia="en-GB"/>
              </w:rPr>
              <w:t>3036</w:t>
            </w:r>
          </w:p>
        </w:tc>
        <w:tc>
          <w:tcPr>
            <w:tcW w:w="2655" w:type="dxa"/>
            <w:tcBorders>
              <w:top w:val="nil"/>
              <w:left w:val="single" w:sz="4" w:space="0" w:color="979991"/>
              <w:bottom w:val="single" w:sz="4" w:space="0" w:color="979991"/>
              <w:right w:val="single" w:sz="4" w:space="0" w:color="979991"/>
            </w:tcBorders>
            <w:shd w:val="clear" w:color="000000" w:fill="FFFFFF"/>
            <w:hideMark/>
          </w:tcPr>
          <w:p w14:paraId="4DEF1A7B" w14:textId="4719BCB1" w:rsidR="00614C1A" w:rsidRPr="00DB1015" w:rsidRDefault="001A734C" w:rsidP="0005469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0.5762</w:t>
            </w:r>
          </w:p>
        </w:tc>
      </w:tr>
    </w:tbl>
    <w:p w14:paraId="7ECF4E6B" w14:textId="77A2B7B1" w:rsidR="00614C1A" w:rsidRDefault="00614C1A"/>
    <w:p w14:paraId="759D7359" w14:textId="519DD385" w:rsidR="00614C1A" w:rsidRDefault="00614C1A" w:rsidP="00614C1A">
      <w:pPr>
        <w:rPr>
          <w:rFonts w:ascii="Calibri" w:hAnsi="Calibri" w:cs="Calibri"/>
        </w:rPr>
      </w:pPr>
      <w:r w:rsidRPr="00493BFA">
        <w:rPr>
          <w:rFonts w:ascii="Calibri" w:hAnsi="Calibri" w:cs="Calibri"/>
        </w:rPr>
        <w:t>The mean hourly rate for male employees was £24.</w:t>
      </w:r>
      <w:r w:rsidR="004E5685">
        <w:rPr>
          <w:rFonts w:ascii="Calibri" w:hAnsi="Calibri" w:cs="Calibri"/>
        </w:rPr>
        <w:t>66</w:t>
      </w:r>
      <w:r w:rsidRPr="00493BFA">
        <w:rPr>
          <w:rFonts w:ascii="Calibri" w:hAnsi="Calibri" w:cs="Calibri"/>
        </w:rPr>
        <w:t xml:space="preserve"> per hour, </w:t>
      </w:r>
      <w:proofErr w:type="gramStart"/>
      <w:r w:rsidR="00F33A12" w:rsidRPr="00493BFA">
        <w:rPr>
          <w:rFonts w:ascii="Calibri" w:hAnsi="Calibri" w:cs="Calibri"/>
        </w:rPr>
        <w:t>a</w:t>
      </w:r>
      <w:proofErr w:type="gramEnd"/>
      <w:r w:rsidR="00063E27" w:rsidRPr="00493BFA">
        <w:rPr>
          <w:rFonts w:ascii="Calibri" w:hAnsi="Calibri" w:cs="Calibri"/>
        </w:rPr>
        <w:t xml:space="preserve"> </w:t>
      </w:r>
      <w:r w:rsidR="004E5685">
        <w:rPr>
          <w:rFonts w:ascii="Calibri" w:hAnsi="Calibri" w:cs="Calibri"/>
        </w:rPr>
        <w:t>increase</w:t>
      </w:r>
      <w:r w:rsidR="00054693" w:rsidRPr="00493BFA">
        <w:rPr>
          <w:rFonts w:ascii="Calibri" w:hAnsi="Calibri" w:cs="Calibri"/>
        </w:rPr>
        <w:t xml:space="preserve"> </w:t>
      </w:r>
      <w:r w:rsidRPr="00493BFA">
        <w:rPr>
          <w:rFonts w:ascii="Calibri" w:hAnsi="Calibri" w:cs="Calibri"/>
        </w:rPr>
        <w:t>of £</w:t>
      </w:r>
      <w:r w:rsidR="00054693" w:rsidRPr="00493BFA">
        <w:rPr>
          <w:rFonts w:ascii="Calibri" w:hAnsi="Calibri" w:cs="Calibri"/>
        </w:rPr>
        <w:t>0</w:t>
      </w:r>
      <w:r w:rsidRPr="00493BFA">
        <w:rPr>
          <w:rFonts w:ascii="Calibri" w:hAnsi="Calibri" w:cs="Calibri"/>
        </w:rPr>
        <w:t>.</w:t>
      </w:r>
      <w:r w:rsidR="004E5685">
        <w:rPr>
          <w:rFonts w:ascii="Calibri" w:hAnsi="Calibri" w:cs="Calibri"/>
        </w:rPr>
        <w:t>32</w:t>
      </w:r>
      <w:r w:rsidRPr="00493BFA">
        <w:rPr>
          <w:rFonts w:ascii="Calibri" w:hAnsi="Calibri" w:cs="Calibri"/>
        </w:rPr>
        <w:t xml:space="preserve"> from the 202</w:t>
      </w:r>
      <w:r w:rsidR="00063E27" w:rsidRPr="00493BFA">
        <w:rPr>
          <w:rFonts w:ascii="Calibri" w:hAnsi="Calibri" w:cs="Calibri"/>
        </w:rPr>
        <w:t>1</w:t>
      </w:r>
      <w:r w:rsidRPr="00493BFA">
        <w:rPr>
          <w:rFonts w:ascii="Calibri" w:hAnsi="Calibri" w:cs="Calibri"/>
        </w:rPr>
        <w:t xml:space="preserve"> rate of £2</w:t>
      </w:r>
      <w:r w:rsidR="00577E1C" w:rsidRPr="00493BFA">
        <w:rPr>
          <w:rFonts w:ascii="Calibri" w:hAnsi="Calibri" w:cs="Calibri"/>
        </w:rPr>
        <w:t>4</w:t>
      </w:r>
      <w:r w:rsidRPr="00493BFA">
        <w:rPr>
          <w:rFonts w:ascii="Calibri" w:hAnsi="Calibri" w:cs="Calibri"/>
        </w:rPr>
        <w:t>.</w:t>
      </w:r>
      <w:r w:rsidR="004E5685">
        <w:rPr>
          <w:rFonts w:ascii="Calibri" w:hAnsi="Calibri" w:cs="Calibri"/>
        </w:rPr>
        <w:t>34</w:t>
      </w:r>
      <w:r w:rsidRPr="00493BFA">
        <w:rPr>
          <w:rFonts w:ascii="Calibri" w:hAnsi="Calibri" w:cs="Calibri"/>
        </w:rPr>
        <w:t xml:space="preserve">. </w:t>
      </w:r>
      <w:r w:rsidR="0041069B" w:rsidRPr="00493BFA">
        <w:rPr>
          <w:rFonts w:ascii="Calibri" w:hAnsi="Calibri" w:cs="Calibri"/>
        </w:rPr>
        <w:t>The</w:t>
      </w:r>
      <w:r w:rsidRPr="00493BFA">
        <w:rPr>
          <w:rFonts w:ascii="Calibri" w:hAnsi="Calibri" w:cs="Calibri"/>
        </w:rPr>
        <w:t xml:space="preserve"> mean hourly rate </w:t>
      </w:r>
      <w:r w:rsidR="0041069B" w:rsidRPr="00493BFA">
        <w:rPr>
          <w:rFonts w:ascii="Calibri" w:hAnsi="Calibri" w:cs="Calibri"/>
        </w:rPr>
        <w:t xml:space="preserve">for female employees was </w:t>
      </w:r>
      <w:r w:rsidRPr="00493BFA">
        <w:rPr>
          <w:rFonts w:ascii="Calibri" w:hAnsi="Calibri" w:cs="Calibri"/>
        </w:rPr>
        <w:t>£24.</w:t>
      </w:r>
      <w:r w:rsidR="004E5685">
        <w:rPr>
          <w:rFonts w:ascii="Calibri" w:hAnsi="Calibri" w:cs="Calibri"/>
        </w:rPr>
        <w:t>34</w:t>
      </w:r>
      <w:r w:rsidRPr="00493BFA">
        <w:rPr>
          <w:rFonts w:ascii="Calibri" w:hAnsi="Calibri" w:cs="Calibri"/>
        </w:rPr>
        <w:t xml:space="preserve"> per hour, a</w:t>
      </w:r>
      <w:r w:rsidR="00054693" w:rsidRPr="00493BFA">
        <w:rPr>
          <w:rFonts w:ascii="Calibri" w:hAnsi="Calibri" w:cs="Calibri"/>
        </w:rPr>
        <w:t xml:space="preserve"> </w:t>
      </w:r>
      <w:r w:rsidR="00F33A12" w:rsidRPr="00493BFA">
        <w:rPr>
          <w:rFonts w:ascii="Calibri" w:hAnsi="Calibri" w:cs="Calibri"/>
        </w:rPr>
        <w:t>decrease</w:t>
      </w:r>
      <w:r w:rsidRPr="00493BFA">
        <w:rPr>
          <w:rFonts w:ascii="Calibri" w:hAnsi="Calibri" w:cs="Calibri"/>
        </w:rPr>
        <w:t xml:space="preserve"> of £</w:t>
      </w:r>
      <w:r w:rsidR="00054693" w:rsidRPr="00493BFA">
        <w:rPr>
          <w:rFonts w:ascii="Calibri" w:hAnsi="Calibri" w:cs="Calibri"/>
        </w:rPr>
        <w:t>0</w:t>
      </w:r>
      <w:r w:rsidRPr="00493BFA">
        <w:rPr>
          <w:rFonts w:ascii="Calibri" w:hAnsi="Calibri" w:cs="Calibri"/>
        </w:rPr>
        <w:t>.</w:t>
      </w:r>
      <w:r w:rsidR="004E5685">
        <w:rPr>
          <w:rFonts w:ascii="Calibri" w:hAnsi="Calibri" w:cs="Calibri"/>
        </w:rPr>
        <w:t>30</w:t>
      </w:r>
      <w:r w:rsidRPr="00493BFA">
        <w:rPr>
          <w:rFonts w:ascii="Calibri" w:hAnsi="Calibri" w:cs="Calibri"/>
        </w:rPr>
        <w:t xml:space="preserve"> on the 202</w:t>
      </w:r>
      <w:r w:rsidR="004E5685">
        <w:rPr>
          <w:rFonts w:ascii="Calibri" w:hAnsi="Calibri" w:cs="Calibri"/>
        </w:rPr>
        <w:t>2</w:t>
      </w:r>
      <w:r w:rsidRPr="00493BFA">
        <w:rPr>
          <w:rFonts w:ascii="Calibri" w:hAnsi="Calibri" w:cs="Calibri"/>
        </w:rPr>
        <w:t xml:space="preserve"> rate of </w:t>
      </w:r>
      <w:r w:rsidR="000E0CC8" w:rsidRPr="00493BFA">
        <w:rPr>
          <w:rFonts w:ascii="Calibri" w:hAnsi="Calibri" w:cs="Calibri"/>
        </w:rPr>
        <w:t>£24.53</w:t>
      </w:r>
      <w:r w:rsidRPr="00493BFA">
        <w:rPr>
          <w:rFonts w:ascii="Calibri" w:hAnsi="Calibri" w:cs="Calibri"/>
        </w:rPr>
        <w:t>. This difference between the hourly rates for male and female employees was £0.</w:t>
      </w:r>
      <w:r w:rsidR="004E5685">
        <w:rPr>
          <w:rFonts w:ascii="Calibri" w:hAnsi="Calibri" w:cs="Calibri"/>
        </w:rPr>
        <w:t>14</w:t>
      </w:r>
      <w:r w:rsidRPr="00493BFA">
        <w:rPr>
          <w:rFonts w:ascii="Calibri" w:hAnsi="Calibri" w:cs="Calibri"/>
        </w:rPr>
        <w:t>, a</w:t>
      </w:r>
      <w:r w:rsidR="000E0CC8" w:rsidRPr="00493BFA">
        <w:rPr>
          <w:rFonts w:ascii="Calibri" w:hAnsi="Calibri" w:cs="Calibri"/>
        </w:rPr>
        <w:t xml:space="preserve"> </w:t>
      </w:r>
      <w:r w:rsidR="004E5685">
        <w:rPr>
          <w:rFonts w:ascii="Calibri" w:hAnsi="Calibri" w:cs="Calibri"/>
        </w:rPr>
        <w:t>de</w:t>
      </w:r>
      <w:r w:rsidR="000E0CC8" w:rsidRPr="00493BFA">
        <w:rPr>
          <w:rFonts w:ascii="Calibri" w:hAnsi="Calibri" w:cs="Calibri"/>
        </w:rPr>
        <w:t>crease</w:t>
      </w:r>
      <w:r w:rsidRPr="00493BFA">
        <w:rPr>
          <w:rFonts w:ascii="Calibri" w:hAnsi="Calibri" w:cs="Calibri"/>
        </w:rPr>
        <w:t xml:space="preserve"> from £0.3</w:t>
      </w:r>
      <w:r w:rsidR="004E5685">
        <w:rPr>
          <w:rFonts w:ascii="Calibri" w:hAnsi="Calibri" w:cs="Calibri"/>
        </w:rPr>
        <w:t>2</w:t>
      </w:r>
      <w:r w:rsidRPr="00493BFA">
        <w:rPr>
          <w:rFonts w:ascii="Calibri" w:hAnsi="Calibri" w:cs="Calibri"/>
        </w:rPr>
        <w:t xml:space="preserve"> in 202</w:t>
      </w:r>
      <w:r w:rsidR="000A3A39" w:rsidRPr="00493BFA">
        <w:rPr>
          <w:rFonts w:ascii="Calibri" w:hAnsi="Calibri" w:cs="Calibri"/>
        </w:rPr>
        <w:t>1</w:t>
      </w:r>
      <w:r w:rsidRPr="00493BFA">
        <w:rPr>
          <w:rFonts w:ascii="Calibri" w:hAnsi="Calibri" w:cs="Calibri"/>
        </w:rPr>
        <w:t>.</w:t>
      </w:r>
      <w:r w:rsidRPr="00237E50">
        <w:rPr>
          <w:rFonts w:ascii="Calibri" w:hAnsi="Calibri" w:cs="Calibri"/>
        </w:rPr>
        <w:t xml:space="preserve"> </w:t>
      </w:r>
    </w:p>
    <w:p w14:paraId="281818FF" w14:textId="77777777" w:rsidR="00614C1A" w:rsidRDefault="00614C1A" w:rsidP="00614C1A">
      <w:pPr>
        <w:pStyle w:val="Default"/>
        <w:rPr>
          <w:b/>
          <w:bCs/>
          <w:sz w:val="22"/>
          <w:szCs w:val="22"/>
          <w:highlight w:val="yellow"/>
        </w:rPr>
      </w:pPr>
    </w:p>
    <w:p w14:paraId="3F83BD9D" w14:textId="77777777" w:rsidR="00614C1A" w:rsidRPr="00A6574E" w:rsidRDefault="00614C1A" w:rsidP="00614C1A">
      <w:pPr>
        <w:pStyle w:val="Default"/>
        <w:numPr>
          <w:ilvl w:val="1"/>
          <w:numId w:val="2"/>
        </w:numPr>
        <w:rPr>
          <w:b/>
          <w:bCs/>
          <w:sz w:val="22"/>
          <w:szCs w:val="22"/>
        </w:rPr>
      </w:pPr>
      <w:r w:rsidRPr="00A6574E">
        <w:rPr>
          <w:b/>
          <w:bCs/>
          <w:sz w:val="22"/>
          <w:szCs w:val="22"/>
        </w:rPr>
        <w:t xml:space="preserve">Quartile Reporting </w:t>
      </w:r>
    </w:p>
    <w:p w14:paraId="3C0DF4BF" w14:textId="77777777" w:rsidR="00614C1A" w:rsidRPr="00A6574E" w:rsidRDefault="00614C1A" w:rsidP="00614C1A">
      <w:pPr>
        <w:pStyle w:val="Default"/>
        <w:ind w:left="360"/>
        <w:rPr>
          <w:sz w:val="22"/>
          <w:szCs w:val="22"/>
        </w:rPr>
      </w:pPr>
    </w:p>
    <w:p w14:paraId="7E730C83" w14:textId="20849A0B" w:rsidR="00614C1A" w:rsidRPr="00A6574E" w:rsidRDefault="00614C1A" w:rsidP="00614C1A">
      <w:r w:rsidRPr="00A6574E">
        <w:t xml:space="preserve">The below table illustrates the gender distribution in </w:t>
      </w:r>
      <w:r w:rsidR="0041069B">
        <w:t>the LET</w:t>
      </w:r>
      <w:r w:rsidRPr="00A6574E">
        <w:t xml:space="preserve"> across four equally sized quartiles (202</w:t>
      </w:r>
      <w:r w:rsidR="004E5685">
        <w:t>2</w:t>
      </w:r>
      <w:r w:rsidRPr="00A6574E">
        <w:t xml:space="preserve"> values in brackets):</w:t>
      </w:r>
    </w:p>
    <w:tbl>
      <w:tblPr>
        <w:tblW w:w="8889" w:type="dxa"/>
        <w:tblLook w:val="04A0" w:firstRow="1" w:lastRow="0" w:firstColumn="1" w:lastColumn="0" w:noHBand="0" w:noVBand="1"/>
      </w:tblPr>
      <w:tblGrid>
        <w:gridCol w:w="1413"/>
        <w:gridCol w:w="1984"/>
        <w:gridCol w:w="2027"/>
        <w:gridCol w:w="1944"/>
        <w:gridCol w:w="1521"/>
      </w:tblGrid>
      <w:tr w:rsidR="00614C1A" w:rsidRPr="002D5B0C" w14:paraId="212C8D23" w14:textId="77777777" w:rsidTr="00614C1A">
        <w:trPr>
          <w:trHeight w:val="541"/>
        </w:trPr>
        <w:tc>
          <w:tcPr>
            <w:tcW w:w="1413" w:type="dxa"/>
            <w:tcBorders>
              <w:top w:val="single" w:sz="4" w:space="0" w:color="979991"/>
              <w:left w:val="single" w:sz="4" w:space="0" w:color="979991"/>
              <w:bottom w:val="nil"/>
              <w:right w:val="nil"/>
            </w:tcBorders>
            <w:shd w:val="clear" w:color="000000" w:fill="0066CC"/>
            <w:hideMark/>
          </w:tcPr>
          <w:p w14:paraId="0680721E" w14:textId="77777777" w:rsidR="00614C1A" w:rsidRPr="002D5B0C" w:rsidRDefault="00614C1A" w:rsidP="00D94819">
            <w:pPr>
              <w:rPr>
                <w:rFonts w:ascii="Calibri" w:hAnsi="Calibri" w:cs="Calibri"/>
                <w:b/>
                <w:bCs/>
                <w:color w:val="FFFFFF"/>
                <w:lang w:eastAsia="en-GB"/>
              </w:rPr>
            </w:pPr>
            <w:r w:rsidRPr="002D5B0C">
              <w:rPr>
                <w:rFonts w:ascii="Calibri" w:hAnsi="Calibri" w:cs="Calibri"/>
                <w:b/>
                <w:bCs/>
                <w:color w:val="FFFFFF"/>
                <w:lang w:eastAsia="en-GB"/>
              </w:rPr>
              <w:t>Quartile</w:t>
            </w:r>
          </w:p>
        </w:tc>
        <w:tc>
          <w:tcPr>
            <w:tcW w:w="1984" w:type="dxa"/>
            <w:tcBorders>
              <w:top w:val="single" w:sz="4" w:space="0" w:color="979991"/>
              <w:left w:val="single" w:sz="4" w:space="0" w:color="979991"/>
              <w:bottom w:val="single" w:sz="4" w:space="0" w:color="979991"/>
              <w:right w:val="nil"/>
            </w:tcBorders>
            <w:shd w:val="clear" w:color="000000" w:fill="0066CC"/>
            <w:hideMark/>
          </w:tcPr>
          <w:p w14:paraId="08A699FB" w14:textId="77777777" w:rsidR="00614C1A" w:rsidRPr="002D5B0C" w:rsidRDefault="00614C1A" w:rsidP="00D94819">
            <w:pPr>
              <w:rPr>
                <w:rFonts w:ascii="Calibri" w:hAnsi="Calibri" w:cs="Calibri"/>
                <w:b/>
                <w:bCs/>
                <w:color w:val="FFFFFF"/>
                <w:lang w:eastAsia="en-GB"/>
              </w:rPr>
            </w:pPr>
            <w:r w:rsidRPr="002D5B0C">
              <w:rPr>
                <w:rFonts w:ascii="Calibri" w:hAnsi="Calibri" w:cs="Calibri"/>
                <w:b/>
                <w:bCs/>
                <w:color w:val="FFFFFF"/>
                <w:lang w:eastAsia="en-GB"/>
              </w:rPr>
              <w:t>Female</w:t>
            </w:r>
          </w:p>
        </w:tc>
        <w:tc>
          <w:tcPr>
            <w:tcW w:w="2027" w:type="dxa"/>
            <w:tcBorders>
              <w:top w:val="single" w:sz="4" w:space="0" w:color="979991"/>
              <w:left w:val="single" w:sz="4" w:space="0" w:color="979991"/>
              <w:bottom w:val="single" w:sz="4" w:space="0" w:color="979991"/>
              <w:right w:val="nil"/>
            </w:tcBorders>
            <w:shd w:val="clear" w:color="000000" w:fill="0066CC"/>
            <w:hideMark/>
          </w:tcPr>
          <w:p w14:paraId="7A6DE4AF" w14:textId="77777777" w:rsidR="00614C1A" w:rsidRPr="002D5B0C" w:rsidRDefault="00614C1A" w:rsidP="00D94819">
            <w:pPr>
              <w:rPr>
                <w:rFonts w:ascii="Calibri" w:hAnsi="Calibri" w:cs="Calibri"/>
                <w:b/>
                <w:bCs/>
                <w:color w:val="FFFFFF"/>
                <w:lang w:eastAsia="en-GB"/>
              </w:rPr>
            </w:pPr>
            <w:r w:rsidRPr="002D5B0C">
              <w:rPr>
                <w:rFonts w:ascii="Calibri" w:hAnsi="Calibri" w:cs="Calibri"/>
                <w:b/>
                <w:bCs/>
                <w:color w:val="FFFFFF"/>
                <w:lang w:eastAsia="en-GB"/>
              </w:rPr>
              <w:t>Male</w:t>
            </w:r>
          </w:p>
        </w:tc>
        <w:tc>
          <w:tcPr>
            <w:tcW w:w="1944" w:type="dxa"/>
            <w:tcBorders>
              <w:top w:val="single" w:sz="4" w:space="0" w:color="979991"/>
              <w:left w:val="single" w:sz="4" w:space="0" w:color="979991"/>
              <w:bottom w:val="single" w:sz="4" w:space="0" w:color="979991"/>
              <w:right w:val="nil"/>
            </w:tcBorders>
            <w:shd w:val="clear" w:color="000000" w:fill="0066CC"/>
            <w:hideMark/>
          </w:tcPr>
          <w:p w14:paraId="64EAF7BF" w14:textId="77777777" w:rsidR="00614C1A" w:rsidRPr="002D5B0C" w:rsidRDefault="00614C1A" w:rsidP="00D94819">
            <w:pPr>
              <w:rPr>
                <w:rFonts w:ascii="Calibri" w:hAnsi="Calibri" w:cs="Calibri"/>
                <w:b/>
                <w:bCs/>
                <w:color w:val="FFFFFF"/>
                <w:lang w:eastAsia="en-GB"/>
              </w:rPr>
            </w:pPr>
            <w:r w:rsidRPr="002D5B0C">
              <w:rPr>
                <w:rFonts w:ascii="Calibri" w:hAnsi="Calibri" w:cs="Calibri"/>
                <w:b/>
                <w:bCs/>
                <w:color w:val="FFFFFF"/>
                <w:lang w:eastAsia="en-GB"/>
              </w:rPr>
              <w:t>Female %</w:t>
            </w:r>
          </w:p>
        </w:tc>
        <w:tc>
          <w:tcPr>
            <w:tcW w:w="1521" w:type="dxa"/>
            <w:tcBorders>
              <w:top w:val="single" w:sz="4" w:space="0" w:color="979991"/>
              <w:left w:val="single" w:sz="4" w:space="0" w:color="979991"/>
              <w:bottom w:val="single" w:sz="4" w:space="0" w:color="979991"/>
              <w:right w:val="single" w:sz="4" w:space="0" w:color="979991"/>
            </w:tcBorders>
            <w:shd w:val="clear" w:color="000000" w:fill="0066CC"/>
            <w:hideMark/>
          </w:tcPr>
          <w:p w14:paraId="252F4310" w14:textId="77777777" w:rsidR="00614C1A" w:rsidRPr="002D5B0C" w:rsidRDefault="00614C1A" w:rsidP="00D94819">
            <w:pPr>
              <w:rPr>
                <w:rFonts w:ascii="Calibri" w:hAnsi="Calibri" w:cs="Calibri"/>
                <w:b/>
                <w:bCs/>
                <w:color w:val="FFFFFF"/>
                <w:lang w:eastAsia="en-GB"/>
              </w:rPr>
            </w:pPr>
            <w:r w:rsidRPr="002D5B0C">
              <w:rPr>
                <w:rFonts w:ascii="Calibri" w:hAnsi="Calibri" w:cs="Calibri"/>
                <w:b/>
                <w:bCs/>
                <w:color w:val="FFFFFF"/>
                <w:lang w:eastAsia="en-GB"/>
              </w:rPr>
              <w:t>Male %</w:t>
            </w:r>
          </w:p>
        </w:tc>
      </w:tr>
      <w:tr w:rsidR="00614C1A" w:rsidRPr="002D5B0C" w14:paraId="6D0D1AF0" w14:textId="77777777" w:rsidTr="00614C1A">
        <w:trPr>
          <w:trHeight w:val="541"/>
        </w:trPr>
        <w:tc>
          <w:tcPr>
            <w:tcW w:w="1413" w:type="dxa"/>
            <w:tcBorders>
              <w:top w:val="single" w:sz="4" w:space="0" w:color="979991"/>
              <w:left w:val="single" w:sz="4" w:space="0" w:color="979991"/>
              <w:bottom w:val="single" w:sz="4" w:space="0" w:color="979991"/>
              <w:right w:val="nil"/>
            </w:tcBorders>
            <w:shd w:val="clear" w:color="000000" w:fill="0066CC"/>
            <w:hideMark/>
          </w:tcPr>
          <w:p w14:paraId="452F46C4" w14:textId="77777777" w:rsidR="00614C1A" w:rsidRPr="002D5B0C" w:rsidRDefault="00614C1A" w:rsidP="00D94819">
            <w:pPr>
              <w:jc w:val="right"/>
              <w:rPr>
                <w:rFonts w:ascii="Calibri" w:hAnsi="Calibri" w:cs="Calibri"/>
                <w:b/>
                <w:bCs/>
                <w:color w:val="FFFFFF"/>
                <w:lang w:eastAsia="en-GB"/>
              </w:rPr>
            </w:pPr>
            <w:r w:rsidRPr="002D5B0C">
              <w:rPr>
                <w:rFonts w:ascii="Calibri" w:hAnsi="Calibri" w:cs="Calibri"/>
                <w:b/>
                <w:bCs/>
                <w:color w:val="FFFFFF"/>
                <w:lang w:eastAsia="en-GB"/>
              </w:rPr>
              <w:t>1</w:t>
            </w:r>
          </w:p>
        </w:tc>
        <w:tc>
          <w:tcPr>
            <w:tcW w:w="1984" w:type="dxa"/>
            <w:tcBorders>
              <w:top w:val="nil"/>
              <w:left w:val="single" w:sz="4" w:space="0" w:color="979991"/>
              <w:bottom w:val="single" w:sz="4" w:space="0" w:color="979991"/>
              <w:right w:val="nil"/>
            </w:tcBorders>
            <w:shd w:val="clear" w:color="000000" w:fill="FFFFFF"/>
            <w:hideMark/>
          </w:tcPr>
          <w:p w14:paraId="41BA98E2" w14:textId="753FB4E9" w:rsidR="00614C1A" w:rsidRPr="00493BFA" w:rsidRDefault="000E0CC8" w:rsidP="00D94819">
            <w:pPr>
              <w:jc w:val="right"/>
              <w:rPr>
                <w:rFonts w:ascii="Calibri" w:hAnsi="Calibri" w:cs="Calibri"/>
                <w:color w:val="000000"/>
                <w:lang w:eastAsia="en-GB"/>
              </w:rPr>
            </w:pPr>
            <w:r w:rsidRPr="00493BFA">
              <w:rPr>
                <w:rFonts w:ascii="Calibri" w:hAnsi="Calibri" w:cs="Calibri"/>
                <w:color w:val="000000"/>
                <w:lang w:eastAsia="en-GB"/>
              </w:rPr>
              <w:t>465.00</w:t>
            </w:r>
          </w:p>
        </w:tc>
        <w:tc>
          <w:tcPr>
            <w:tcW w:w="2027" w:type="dxa"/>
            <w:tcBorders>
              <w:top w:val="nil"/>
              <w:left w:val="single" w:sz="4" w:space="0" w:color="979991"/>
              <w:bottom w:val="single" w:sz="4" w:space="0" w:color="979991"/>
              <w:right w:val="nil"/>
            </w:tcBorders>
            <w:shd w:val="clear" w:color="000000" w:fill="FFFFFF"/>
            <w:hideMark/>
          </w:tcPr>
          <w:p w14:paraId="2E87DB1D" w14:textId="3AD5F430"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3</w:t>
            </w:r>
            <w:r w:rsidR="000E0CC8" w:rsidRPr="00493BFA">
              <w:rPr>
                <w:rFonts w:ascii="Calibri" w:hAnsi="Calibri" w:cs="Calibri"/>
                <w:color w:val="000000"/>
                <w:lang w:eastAsia="en-GB"/>
              </w:rPr>
              <w:t>97.00</w:t>
            </w:r>
          </w:p>
        </w:tc>
        <w:tc>
          <w:tcPr>
            <w:tcW w:w="1944" w:type="dxa"/>
            <w:tcBorders>
              <w:top w:val="nil"/>
              <w:left w:val="single" w:sz="4" w:space="0" w:color="979991"/>
              <w:bottom w:val="single" w:sz="4" w:space="0" w:color="979991"/>
              <w:right w:val="nil"/>
            </w:tcBorders>
            <w:shd w:val="clear" w:color="000000" w:fill="FFFFFF"/>
            <w:hideMark/>
          </w:tcPr>
          <w:p w14:paraId="145679A3" w14:textId="0E2B5BE8"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5</w:t>
            </w:r>
            <w:r w:rsidR="000E0CC8" w:rsidRPr="00493BFA">
              <w:rPr>
                <w:rFonts w:ascii="Calibri" w:hAnsi="Calibri" w:cs="Calibri"/>
                <w:color w:val="000000"/>
                <w:lang w:eastAsia="en-GB"/>
              </w:rPr>
              <w:t>3.94</w:t>
            </w:r>
          </w:p>
          <w:p w14:paraId="2CEDA62D" w14:textId="44871B33"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0E0CC8" w:rsidRPr="00493BFA">
              <w:rPr>
                <w:rFonts w:ascii="Calibri" w:hAnsi="Calibri" w:cs="Calibri"/>
                <w:color w:val="000000"/>
                <w:lang w:eastAsia="en-GB"/>
              </w:rPr>
              <w:t>5</w:t>
            </w:r>
            <w:r w:rsidR="00150C86">
              <w:rPr>
                <w:rFonts w:ascii="Calibri" w:hAnsi="Calibri" w:cs="Calibri"/>
                <w:color w:val="000000"/>
                <w:lang w:eastAsia="en-GB"/>
              </w:rPr>
              <w:t>3.94</w:t>
            </w:r>
            <w:r w:rsidRPr="00493BFA">
              <w:rPr>
                <w:rFonts w:ascii="Calibri" w:hAnsi="Calibri" w:cs="Calibri"/>
                <w:color w:val="000000"/>
                <w:lang w:eastAsia="en-GB"/>
              </w:rPr>
              <w:t>)</w:t>
            </w:r>
          </w:p>
        </w:tc>
        <w:tc>
          <w:tcPr>
            <w:tcW w:w="1521" w:type="dxa"/>
            <w:tcBorders>
              <w:top w:val="nil"/>
              <w:left w:val="single" w:sz="4" w:space="0" w:color="979991"/>
              <w:bottom w:val="single" w:sz="4" w:space="0" w:color="979991"/>
              <w:right w:val="single" w:sz="4" w:space="0" w:color="979991"/>
            </w:tcBorders>
            <w:shd w:val="clear" w:color="000000" w:fill="FFFFFF"/>
            <w:hideMark/>
          </w:tcPr>
          <w:p w14:paraId="0C731D19" w14:textId="307187BB" w:rsidR="00614C1A" w:rsidRPr="00493BFA" w:rsidRDefault="000E0CC8" w:rsidP="00D94819">
            <w:pPr>
              <w:jc w:val="right"/>
              <w:rPr>
                <w:rFonts w:ascii="Calibri" w:hAnsi="Calibri" w:cs="Calibri"/>
                <w:color w:val="000000"/>
                <w:lang w:eastAsia="en-GB"/>
              </w:rPr>
            </w:pPr>
            <w:r w:rsidRPr="00493BFA">
              <w:rPr>
                <w:rFonts w:cs="Arial"/>
              </w:rPr>
              <w:t>46.06</w:t>
            </w:r>
          </w:p>
          <w:p w14:paraId="340CE07E" w14:textId="434DDFE1"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150C86">
              <w:rPr>
                <w:rFonts w:ascii="Calibri" w:hAnsi="Calibri" w:cs="Calibri"/>
                <w:color w:val="000000"/>
                <w:lang w:eastAsia="en-GB"/>
              </w:rPr>
              <w:t>46</w:t>
            </w:r>
            <w:r w:rsidR="000E0CC8" w:rsidRPr="00493BFA">
              <w:rPr>
                <w:rFonts w:ascii="Calibri" w:hAnsi="Calibri" w:cs="Calibri"/>
                <w:color w:val="000000"/>
                <w:lang w:eastAsia="en-GB"/>
              </w:rPr>
              <w:t>.</w:t>
            </w:r>
            <w:r w:rsidR="00150C86">
              <w:rPr>
                <w:rFonts w:ascii="Calibri" w:hAnsi="Calibri" w:cs="Calibri"/>
                <w:color w:val="000000"/>
                <w:lang w:eastAsia="en-GB"/>
              </w:rPr>
              <w:t>06</w:t>
            </w:r>
            <w:r w:rsidRPr="00493BFA">
              <w:rPr>
                <w:rFonts w:ascii="Calibri" w:hAnsi="Calibri" w:cs="Calibri"/>
                <w:color w:val="000000"/>
                <w:lang w:eastAsia="en-GB"/>
              </w:rPr>
              <w:t>)</w:t>
            </w:r>
          </w:p>
        </w:tc>
      </w:tr>
      <w:tr w:rsidR="00614C1A" w:rsidRPr="002D5B0C" w14:paraId="2001608F" w14:textId="77777777" w:rsidTr="00614C1A">
        <w:trPr>
          <w:trHeight w:val="541"/>
        </w:trPr>
        <w:tc>
          <w:tcPr>
            <w:tcW w:w="1413" w:type="dxa"/>
            <w:tcBorders>
              <w:top w:val="nil"/>
              <w:left w:val="single" w:sz="4" w:space="0" w:color="979991"/>
              <w:bottom w:val="single" w:sz="4" w:space="0" w:color="979991"/>
              <w:right w:val="nil"/>
            </w:tcBorders>
            <w:shd w:val="clear" w:color="000000" w:fill="0066CC"/>
            <w:hideMark/>
          </w:tcPr>
          <w:p w14:paraId="2ACF48DF" w14:textId="77777777" w:rsidR="00614C1A" w:rsidRPr="002D5B0C" w:rsidRDefault="00614C1A" w:rsidP="00D94819">
            <w:pPr>
              <w:jc w:val="right"/>
              <w:rPr>
                <w:rFonts w:ascii="Calibri" w:hAnsi="Calibri" w:cs="Calibri"/>
                <w:b/>
                <w:bCs/>
                <w:color w:val="FFFFFF"/>
                <w:lang w:eastAsia="en-GB"/>
              </w:rPr>
            </w:pPr>
            <w:r w:rsidRPr="002D5B0C">
              <w:rPr>
                <w:rFonts w:ascii="Calibri" w:hAnsi="Calibri" w:cs="Calibri"/>
                <w:b/>
                <w:bCs/>
                <w:color w:val="FFFFFF"/>
                <w:lang w:eastAsia="en-GB"/>
              </w:rPr>
              <w:t>2</w:t>
            </w:r>
          </w:p>
        </w:tc>
        <w:tc>
          <w:tcPr>
            <w:tcW w:w="1984" w:type="dxa"/>
            <w:tcBorders>
              <w:top w:val="nil"/>
              <w:left w:val="single" w:sz="4" w:space="0" w:color="979991"/>
              <w:bottom w:val="single" w:sz="4" w:space="0" w:color="979991"/>
              <w:right w:val="nil"/>
            </w:tcBorders>
            <w:shd w:val="clear" w:color="000000" w:fill="FFFFFF"/>
            <w:hideMark/>
          </w:tcPr>
          <w:p w14:paraId="6D2B6B33" w14:textId="2EEB124D"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4</w:t>
            </w:r>
            <w:r w:rsidR="000E0CC8" w:rsidRPr="00493BFA">
              <w:rPr>
                <w:rFonts w:ascii="Calibri" w:hAnsi="Calibri" w:cs="Calibri"/>
                <w:color w:val="000000"/>
                <w:lang w:eastAsia="en-GB"/>
              </w:rPr>
              <w:t>6</w:t>
            </w:r>
            <w:r w:rsidR="00150C86">
              <w:rPr>
                <w:rFonts w:ascii="Calibri" w:hAnsi="Calibri" w:cs="Calibri"/>
                <w:color w:val="000000"/>
                <w:lang w:eastAsia="en-GB"/>
              </w:rPr>
              <w:t>4</w:t>
            </w:r>
            <w:r w:rsidR="000E0CC8" w:rsidRPr="00493BFA">
              <w:rPr>
                <w:rFonts w:ascii="Calibri" w:hAnsi="Calibri" w:cs="Calibri"/>
                <w:color w:val="000000"/>
                <w:lang w:eastAsia="en-GB"/>
              </w:rPr>
              <w:t>.00</w:t>
            </w:r>
          </w:p>
        </w:tc>
        <w:tc>
          <w:tcPr>
            <w:tcW w:w="2027" w:type="dxa"/>
            <w:tcBorders>
              <w:top w:val="nil"/>
              <w:left w:val="single" w:sz="4" w:space="0" w:color="979991"/>
              <w:bottom w:val="single" w:sz="4" w:space="0" w:color="979991"/>
              <w:right w:val="nil"/>
            </w:tcBorders>
            <w:shd w:val="clear" w:color="000000" w:fill="FFFFFF"/>
            <w:hideMark/>
          </w:tcPr>
          <w:p w14:paraId="35BC7BB7" w14:textId="6A6EFE4B" w:rsidR="00614C1A" w:rsidRPr="00493BFA" w:rsidRDefault="000E0CC8" w:rsidP="00D94819">
            <w:pPr>
              <w:jc w:val="right"/>
              <w:rPr>
                <w:rFonts w:ascii="Calibri" w:hAnsi="Calibri" w:cs="Calibri"/>
                <w:color w:val="000000"/>
                <w:lang w:eastAsia="en-GB"/>
              </w:rPr>
            </w:pPr>
            <w:r w:rsidRPr="00493BFA">
              <w:rPr>
                <w:rFonts w:ascii="Calibri" w:hAnsi="Calibri" w:cs="Calibri"/>
                <w:color w:val="000000"/>
                <w:lang w:eastAsia="en-GB"/>
              </w:rPr>
              <w:t>422.00</w:t>
            </w:r>
          </w:p>
        </w:tc>
        <w:tc>
          <w:tcPr>
            <w:tcW w:w="1944" w:type="dxa"/>
            <w:tcBorders>
              <w:top w:val="nil"/>
              <w:left w:val="single" w:sz="4" w:space="0" w:color="979991"/>
              <w:bottom w:val="single" w:sz="4" w:space="0" w:color="979991"/>
              <w:right w:val="nil"/>
            </w:tcBorders>
            <w:shd w:val="clear" w:color="000000" w:fill="FFFFFF"/>
            <w:hideMark/>
          </w:tcPr>
          <w:p w14:paraId="54268A38" w14:textId="751F5B4A" w:rsidR="00614C1A" w:rsidRPr="00493BFA" w:rsidRDefault="00614C1A" w:rsidP="00D94819">
            <w:pPr>
              <w:jc w:val="right"/>
              <w:rPr>
                <w:rFonts w:ascii="Calibri" w:hAnsi="Calibri" w:cs="Calibri"/>
                <w:color w:val="000000"/>
                <w:lang w:eastAsia="en-GB"/>
              </w:rPr>
            </w:pPr>
            <w:r w:rsidRPr="00493BFA">
              <w:rPr>
                <w:rFonts w:ascii="Wingdings" w:eastAsia="Wingdings" w:hAnsi="Wingdings" w:cs="Wingdings"/>
              </w:rPr>
              <w:t>é</w:t>
            </w:r>
            <w:r w:rsidRPr="00493BFA">
              <w:rPr>
                <w:rFonts w:ascii="Calibri" w:hAnsi="Calibri" w:cs="Calibri"/>
                <w:color w:val="000000"/>
                <w:lang w:eastAsia="en-GB"/>
              </w:rPr>
              <w:t>5</w:t>
            </w:r>
            <w:r w:rsidR="000E0CC8" w:rsidRPr="00493BFA">
              <w:rPr>
                <w:rFonts w:ascii="Calibri" w:hAnsi="Calibri" w:cs="Calibri"/>
                <w:color w:val="000000"/>
                <w:lang w:eastAsia="en-GB"/>
              </w:rPr>
              <w:t>2.2</w:t>
            </w:r>
            <w:r w:rsidR="00150C86">
              <w:rPr>
                <w:rFonts w:ascii="Calibri" w:hAnsi="Calibri" w:cs="Calibri"/>
                <w:color w:val="000000"/>
                <w:lang w:eastAsia="en-GB"/>
              </w:rPr>
              <w:t>5</w:t>
            </w:r>
          </w:p>
          <w:p w14:paraId="1AE2DC72" w14:textId="5263C5CF"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150C86">
              <w:rPr>
                <w:rFonts w:ascii="Calibri" w:hAnsi="Calibri" w:cs="Calibri"/>
                <w:color w:val="000000"/>
                <w:lang w:eastAsia="en-GB"/>
              </w:rPr>
              <w:t>52.21</w:t>
            </w:r>
            <w:r w:rsidRPr="00493BFA">
              <w:rPr>
                <w:rFonts w:ascii="Calibri" w:hAnsi="Calibri" w:cs="Calibri"/>
                <w:color w:val="000000"/>
                <w:lang w:eastAsia="en-GB"/>
              </w:rPr>
              <w:t>)</w:t>
            </w:r>
          </w:p>
        </w:tc>
        <w:tc>
          <w:tcPr>
            <w:tcW w:w="1521" w:type="dxa"/>
            <w:tcBorders>
              <w:top w:val="nil"/>
              <w:left w:val="single" w:sz="4" w:space="0" w:color="979991"/>
              <w:bottom w:val="single" w:sz="4" w:space="0" w:color="979991"/>
              <w:right w:val="single" w:sz="4" w:space="0" w:color="979991"/>
            </w:tcBorders>
            <w:shd w:val="clear" w:color="000000" w:fill="FFFFFF"/>
            <w:hideMark/>
          </w:tcPr>
          <w:p w14:paraId="2F18CD5B" w14:textId="06F0ECC7" w:rsidR="00614C1A" w:rsidRPr="00493BFA" w:rsidRDefault="00614C1A" w:rsidP="00D94819">
            <w:pPr>
              <w:jc w:val="right"/>
              <w:rPr>
                <w:rFonts w:ascii="Calibri" w:hAnsi="Calibri" w:cs="Calibri"/>
                <w:color w:val="000000"/>
                <w:lang w:eastAsia="en-GB"/>
              </w:rPr>
            </w:pPr>
            <w:r w:rsidRPr="00493BFA">
              <w:rPr>
                <w:rFonts w:ascii="Wingdings" w:eastAsia="Wingdings" w:hAnsi="Wingdings" w:cs="Wingdings"/>
              </w:rPr>
              <w:t>ê</w:t>
            </w:r>
            <w:r w:rsidRPr="00493BFA">
              <w:rPr>
                <w:rFonts w:ascii="Calibri" w:hAnsi="Calibri" w:cs="Calibri"/>
                <w:color w:val="000000"/>
                <w:lang w:eastAsia="en-GB"/>
              </w:rPr>
              <w:t>4</w:t>
            </w:r>
            <w:r w:rsidR="000E0CC8" w:rsidRPr="00493BFA">
              <w:rPr>
                <w:rFonts w:ascii="Calibri" w:hAnsi="Calibri" w:cs="Calibri"/>
                <w:color w:val="000000"/>
                <w:lang w:eastAsia="en-GB"/>
              </w:rPr>
              <w:t>7</w:t>
            </w:r>
            <w:r w:rsidRPr="00493BFA">
              <w:rPr>
                <w:rFonts w:ascii="Calibri" w:hAnsi="Calibri" w:cs="Calibri"/>
                <w:color w:val="000000"/>
                <w:lang w:eastAsia="en-GB"/>
              </w:rPr>
              <w:t>.</w:t>
            </w:r>
            <w:r w:rsidR="000E0CC8" w:rsidRPr="00493BFA">
              <w:rPr>
                <w:rFonts w:ascii="Calibri" w:hAnsi="Calibri" w:cs="Calibri"/>
                <w:color w:val="000000"/>
                <w:lang w:eastAsia="en-GB"/>
              </w:rPr>
              <w:t>7</w:t>
            </w:r>
            <w:r w:rsidR="00150C86">
              <w:rPr>
                <w:rFonts w:ascii="Calibri" w:hAnsi="Calibri" w:cs="Calibri"/>
                <w:color w:val="000000"/>
                <w:lang w:eastAsia="en-GB"/>
              </w:rPr>
              <w:t>5</w:t>
            </w:r>
          </w:p>
          <w:p w14:paraId="0C2FC767" w14:textId="023F28A9"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150C86">
              <w:rPr>
                <w:rFonts w:ascii="Calibri" w:hAnsi="Calibri" w:cs="Calibri"/>
                <w:color w:val="000000"/>
                <w:lang w:eastAsia="en-GB"/>
              </w:rPr>
              <w:t>47.79</w:t>
            </w:r>
            <w:r w:rsidRPr="00493BFA">
              <w:rPr>
                <w:rFonts w:ascii="Calibri" w:hAnsi="Calibri" w:cs="Calibri"/>
                <w:color w:val="000000"/>
                <w:lang w:eastAsia="en-GB"/>
              </w:rPr>
              <w:t>)</w:t>
            </w:r>
          </w:p>
        </w:tc>
      </w:tr>
      <w:tr w:rsidR="00614C1A" w:rsidRPr="002D5B0C" w14:paraId="78188851" w14:textId="77777777" w:rsidTr="00614C1A">
        <w:trPr>
          <w:trHeight w:val="541"/>
        </w:trPr>
        <w:tc>
          <w:tcPr>
            <w:tcW w:w="1413" w:type="dxa"/>
            <w:tcBorders>
              <w:top w:val="nil"/>
              <w:left w:val="single" w:sz="4" w:space="0" w:color="979991"/>
              <w:bottom w:val="single" w:sz="4" w:space="0" w:color="979991"/>
              <w:right w:val="nil"/>
            </w:tcBorders>
            <w:shd w:val="clear" w:color="000000" w:fill="0066CC"/>
            <w:hideMark/>
          </w:tcPr>
          <w:p w14:paraId="6FE212E1" w14:textId="77777777" w:rsidR="00614C1A" w:rsidRPr="002D5B0C" w:rsidRDefault="00614C1A" w:rsidP="00D94819">
            <w:pPr>
              <w:jc w:val="right"/>
              <w:rPr>
                <w:rFonts w:ascii="Calibri" w:hAnsi="Calibri" w:cs="Calibri"/>
                <w:b/>
                <w:bCs/>
                <w:color w:val="FFFFFF"/>
                <w:lang w:eastAsia="en-GB"/>
              </w:rPr>
            </w:pPr>
            <w:r w:rsidRPr="002D5B0C">
              <w:rPr>
                <w:rFonts w:ascii="Calibri" w:hAnsi="Calibri" w:cs="Calibri"/>
                <w:b/>
                <w:bCs/>
                <w:color w:val="FFFFFF"/>
                <w:lang w:eastAsia="en-GB"/>
              </w:rPr>
              <w:t>3</w:t>
            </w:r>
          </w:p>
        </w:tc>
        <w:tc>
          <w:tcPr>
            <w:tcW w:w="1984" w:type="dxa"/>
            <w:tcBorders>
              <w:top w:val="nil"/>
              <w:left w:val="single" w:sz="4" w:space="0" w:color="979991"/>
              <w:bottom w:val="single" w:sz="4" w:space="0" w:color="979991"/>
              <w:right w:val="nil"/>
            </w:tcBorders>
            <w:shd w:val="clear" w:color="000000" w:fill="FFFFFF"/>
            <w:hideMark/>
          </w:tcPr>
          <w:p w14:paraId="4EFB4623" w14:textId="5F001F7D"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39</w:t>
            </w:r>
            <w:r w:rsidR="00150C86">
              <w:rPr>
                <w:rFonts w:ascii="Calibri" w:hAnsi="Calibri" w:cs="Calibri"/>
                <w:color w:val="000000"/>
                <w:lang w:eastAsia="en-GB"/>
              </w:rPr>
              <w:t>2</w:t>
            </w:r>
            <w:r w:rsidRPr="00493BFA">
              <w:rPr>
                <w:rFonts w:ascii="Calibri" w:hAnsi="Calibri" w:cs="Calibri"/>
                <w:color w:val="000000"/>
                <w:lang w:eastAsia="en-GB"/>
              </w:rPr>
              <w:t>.00</w:t>
            </w:r>
          </w:p>
        </w:tc>
        <w:tc>
          <w:tcPr>
            <w:tcW w:w="2027" w:type="dxa"/>
            <w:tcBorders>
              <w:top w:val="nil"/>
              <w:left w:val="single" w:sz="4" w:space="0" w:color="979991"/>
              <w:bottom w:val="single" w:sz="4" w:space="0" w:color="979991"/>
              <w:right w:val="nil"/>
            </w:tcBorders>
            <w:shd w:val="clear" w:color="000000" w:fill="FFFFFF"/>
            <w:hideMark/>
          </w:tcPr>
          <w:p w14:paraId="18BE850F" w14:textId="251646CC"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3</w:t>
            </w:r>
            <w:r w:rsidR="000E0CC8" w:rsidRPr="00493BFA">
              <w:rPr>
                <w:rFonts w:ascii="Calibri" w:hAnsi="Calibri" w:cs="Calibri"/>
                <w:color w:val="000000"/>
                <w:lang w:eastAsia="en-GB"/>
              </w:rPr>
              <w:t>96</w:t>
            </w:r>
            <w:r w:rsidRPr="00493BFA">
              <w:rPr>
                <w:rFonts w:ascii="Calibri" w:hAnsi="Calibri" w:cs="Calibri"/>
                <w:color w:val="000000"/>
                <w:lang w:eastAsia="en-GB"/>
              </w:rPr>
              <w:t>.00</w:t>
            </w:r>
          </w:p>
        </w:tc>
        <w:tc>
          <w:tcPr>
            <w:tcW w:w="1944" w:type="dxa"/>
            <w:tcBorders>
              <w:top w:val="nil"/>
              <w:left w:val="single" w:sz="4" w:space="0" w:color="979991"/>
              <w:bottom w:val="single" w:sz="4" w:space="0" w:color="979991"/>
              <w:right w:val="nil"/>
            </w:tcBorders>
            <w:shd w:val="clear" w:color="000000" w:fill="FFFFFF"/>
            <w:hideMark/>
          </w:tcPr>
          <w:p w14:paraId="025C187A" w14:textId="643E44DE" w:rsidR="00614C1A" w:rsidRPr="00493BFA" w:rsidRDefault="000F1CB6" w:rsidP="00D94819">
            <w:pPr>
              <w:jc w:val="right"/>
              <w:rPr>
                <w:rFonts w:ascii="Calibri" w:hAnsi="Calibri" w:cs="Calibri"/>
                <w:color w:val="000000"/>
                <w:lang w:eastAsia="en-GB"/>
              </w:rPr>
            </w:pPr>
            <w:r w:rsidRPr="00493BFA">
              <w:rPr>
                <w:rFonts w:ascii="Wingdings" w:eastAsia="Wingdings" w:hAnsi="Wingdings" w:cs="Wingdings"/>
              </w:rPr>
              <w:t>ê</w:t>
            </w:r>
            <w:r w:rsidRPr="00493BFA">
              <w:rPr>
                <w:rFonts w:cs="Arial"/>
              </w:rPr>
              <w:t>49.</w:t>
            </w:r>
            <w:r w:rsidR="00150C86">
              <w:rPr>
                <w:rFonts w:cs="Arial"/>
              </w:rPr>
              <w:t>62</w:t>
            </w:r>
          </w:p>
          <w:p w14:paraId="600349D8" w14:textId="65DD4CE7"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150C86">
              <w:rPr>
                <w:rFonts w:ascii="Calibri" w:hAnsi="Calibri" w:cs="Calibri"/>
                <w:color w:val="000000"/>
                <w:lang w:eastAsia="en-GB"/>
              </w:rPr>
              <w:t>49.81</w:t>
            </w:r>
            <w:r w:rsidRPr="00493BFA">
              <w:rPr>
                <w:rFonts w:ascii="Calibri" w:hAnsi="Calibri" w:cs="Calibri"/>
                <w:color w:val="000000"/>
                <w:lang w:eastAsia="en-GB"/>
              </w:rPr>
              <w:t>)</w:t>
            </w:r>
          </w:p>
        </w:tc>
        <w:tc>
          <w:tcPr>
            <w:tcW w:w="1521" w:type="dxa"/>
            <w:tcBorders>
              <w:top w:val="nil"/>
              <w:left w:val="single" w:sz="4" w:space="0" w:color="979991"/>
              <w:bottom w:val="single" w:sz="4" w:space="0" w:color="979991"/>
              <w:right w:val="single" w:sz="4" w:space="0" w:color="979991"/>
            </w:tcBorders>
            <w:shd w:val="clear" w:color="000000" w:fill="FFFFFF"/>
            <w:hideMark/>
          </w:tcPr>
          <w:p w14:paraId="287CCA20" w14:textId="6541D11C" w:rsidR="00614C1A" w:rsidRPr="00493BFA" w:rsidRDefault="000F1CB6" w:rsidP="00D94819">
            <w:pPr>
              <w:jc w:val="right"/>
              <w:rPr>
                <w:rFonts w:ascii="Calibri" w:hAnsi="Calibri" w:cs="Calibri"/>
                <w:color w:val="000000"/>
                <w:lang w:eastAsia="en-GB"/>
              </w:rPr>
            </w:pPr>
            <w:r w:rsidRPr="00493BFA">
              <w:rPr>
                <w:rFonts w:ascii="Wingdings" w:eastAsia="Wingdings" w:hAnsi="Wingdings" w:cs="Wingdings"/>
              </w:rPr>
              <w:t>é</w:t>
            </w:r>
            <w:r w:rsidRPr="00493BFA">
              <w:rPr>
                <w:rFonts w:cs="Arial"/>
              </w:rPr>
              <w:t>50.</w:t>
            </w:r>
            <w:r w:rsidR="00150C86">
              <w:rPr>
                <w:rFonts w:cs="Arial"/>
              </w:rPr>
              <w:t>38</w:t>
            </w:r>
          </w:p>
          <w:p w14:paraId="7934C28D" w14:textId="57CA1AD7"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150C86">
              <w:rPr>
                <w:rFonts w:ascii="Calibri" w:hAnsi="Calibri" w:cs="Calibri"/>
                <w:color w:val="000000"/>
                <w:lang w:eastAsia="en-GB"/>
              </w:rPr>
              <w:t>50</w:t>
            </w:r>
            <w:r w:rsidR="000E0CC8" w:rsidRPr="00493BFA">
              <w:rPr>
                <w:rFonts w:ascii="Calibri" w:hAnsi="Calibri" w:cs="Calibri"/>
                <w:color w:val="000000"/>
                <w:lang w:eastAsia="en-GB"/>
              </w:rPr>
              <w:t>.</w:t>
            </w:r>
            <w:r w:rsidR="00150C86">
              <w:rPr>
                <w:rFonts w:ascii="Calibri" w:hAnsi="Calibri" w:cs="Calibri"/>
                <w:color w:val="000000"/>
                <w:lang w:eastAsia="en-GB"/>
              </w:rPr>
              <w:t>19</w:t>
            </w:r>
            <w:r w:rsidRPr="00493BFA">
              <w:rPr>
                <w:rFonts w:ascii="Calibri" w:hAnsi="Calibri" w:cs="Calibri"/>
                <w:color w:val="000000"/>
                <w:lang w:eastAsia="en-GB"/>
              </w:rPr>
              <w:t>)</w:t>
            </w:r>
          </w:p>
        </w:tc>
      </w:tr>
      <w:tr w:rsidR="00614C1A" w:rsidRPr="002D5B0C" w14:paraId="6D1935DF" w14:textId="77777777" w:rsidTr="00614C1A">
        <w:trPr>
          <w:trHeight w:val="541"/>
        </w:trPr>
        <w:tc>
          <w:tcPr>
            <w:tcW w:w="1413" w:type="dxa"/>
            <w:tcBorders>
              <w:top w:val="nil"/>
              <w:left w:val="single" w:sz="4" w:space="0" w:color="979991"/>
              <w:bottom w:val="single" w:sz="4" w:space="0" w:color="979991"/>
              <w:right w:val="nil"/>
            </w:tcBorders>
            <w:shd w:val="clear" w:color="000000" w:fill="0066CC"/>
            <w:hideMark/>
          </w:tcPr>
          <w:p w14:paraId="6032773F" w14:textId="77777777" w:rsidR="00614C1A" w:rsidRPr="002D5B0C" w:rsidRDefault="00614C1A" w:rsidP="00D94819">
            <w:pPr>
              <w:jc w:val="right"/>
              <w:rPr>
                <w:rFonts w:ascii="Calibri" w:hAnsi="Calibri" w:cs="Calibri"/>
                <w:b/>
                <w:bCs/>
                <w:color w:val="FFFFFF"/>
                <w:lang w:eastAsia="en-GB"/>
              </w:rPr>
            </w:pPr>
            <w:r w:rsidRPr="002D5B0C">
              <w:rPr>
                <w:rFonts w:ascii="Calibri" w:hAnsi="Calibri" w:cs="Calibri"/>
                <w:b/>
                <w:bCs/>
                <w:color w:val="FFFFFF"/>
                <w:lang w:eastAsia="en-GB"/>
              </w:rPr>
              <w:t>4</w:t>
            </w:r>
          </w:p>
        </w:tc>
        <w:tc>
          <w:tcPr>
            <w:tcW w:w="1984" w:type="dxa"/>
            <w:tcBorders>
              <w:top w:val="nil"/>
              <w:left w:val="single" w:sz="4" w:space="0" w:color="979991"/>
              <w:bottom w:val="single" w:sz="4" w:space="0" w:color="979991"/>
              <w:right w:val="nil"/>
            </w:tcBorders>
            <w:shd w:val="clear" w:color="000000" w:fill="FFFFFF"/>
            <w:hideMark/>
          </w:tcPr>
          <w:p w14:paraId="0B15946A" w14:textId="76216FFA"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4</w:t>
            </w:r>
            <w:r w:rsidR="000E0CC8" w:rsidRPr="00493BFA">
              <w:rPr>
                <w:rFonts w:ascii="Calibri" w:hAnsi="Calibri" w:cs="Calibri"/>
                <w:color w:val="000000"/>
                <w:lang w:eastAsia="en-GB"/>
              </w:rPr>
              <w:t>8</w:t>
            </w:r>
            <w:r w:rsidR="00150C86">
              <w:rPr>
                <w:rFonts w:ascii="Calibri" w:hAnsi="Calibri" w:cs="Calibri"/>
                <w:color w:val="000000"/>
                <w:lang w:eastAsia="en-GB"/>
              </w:rPr>
              <w:t>1</w:t>
            </w:r>
            <w:r w:rsidRPr="00493BFA">
              <w:rPr>
                <w:rFonts w:ascii="Calibri" w:hAnsi="Calibri" w:cs="Calibri"/>
                <w:color w:val="000000"/>
                <w:lang w:eastAsia="en-GB"/>
              </w:rPr>
              <w:t>.00</w:t>
            </w:r>
          </w:p>
        </w:tc>
        <w:tc>
          <w:tcPr>
            <w:tcW w:w="2027" w:type="dxa"/>
            <w:tcBorders>
              <w:top w:val="nil"/>
              <w:left w:val="single" w:sz="4" w:space="0" w:color="979991"/>
              <w:bottom w:val="single" w:sz="4" w:space="0" w:color="979991"/>
              <w:right w:val="nil"/>
            </w:tcBorders>
            <w:shd w:val="clear" w:color="000000" w:fill="FFFFFF"/>
            <w:hideMark/>
          </w:tcPr>
          <w:p w14:paraId="55EB68E5" w14:textId="0F44362B"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4</w:t>
            </w:r>
            <w:r w:rsidR="000E0CC8" w:rsidRPr="00493BFA">
              <w:rPr>
                <w:rFonts w:ascii="Calibri" w:hAnsi="Calibri" w:cs="Calibri"/>
                <w:color w:val="000000"/>
                <w:lang w:eastAsia="en-GB"/>
              </w:rPr>
              <w:t>76</w:t>
            </w:r>
            <w:r w:rsidRPr="00493BFA">
              <w:rPr>
                <w:rFonts w:ascii="Calibri" w:hAnsi="Calibri" w:cs="Calibri"/>
                <w:color w:val="000000"/>
                <w:lang w:eastAsia="en-GB"/>
              </w:rPr>
              <w:t>.00</w:t>
            </w:r>
          </w:p>
        </w:tc>
        <w:tc>
          <w:tcPr>
            <w:tcW w:w="1944" w:type="dxa"/>
            <w:tcBorders>
              <w:top w:val="nil"/>
              <w:left w:val="single" w:sz="4" w:space="0" w:color="979991"/>
              <w:bottom w:val="single" w:sz="4" w:space="0" w:color="979991"/>
              <w:right w:val="nil"/>
            </w:tcBorders>
            <w:shd w:val="clear" w:color="000000" w:fill="FFFFFF"/>
            <w:hideMark/>
          </w:tcPr>
          <w:p w14:paraId="34CCF29D" w14:textId="3863DA53" w:rsidR="00614C1A" w:rsidRPr="00493BFA" w:rsidRDefault="00150C86" w:rsidP="00D94819">
            <w:pPr>
              <w:jc w:val="right"/>
              <w:rPr>
                <w:rFonts w:ascii="Calibri" w:hAnsi="Calibri" w:cs="Calibri"/>
                <w:color w:val="000000"/>
                <w:lang w:eastAsia="en-GB"/>
              </w:rPr>
            </w:pPr>
            <w:r w:rsidRPr="00493BFA">
              <w:rPr>
                <w:rFonts w:ascii="Wingdings" w:eastAsia="Wingdings" w:hAnsi="Wingdings" w:cs="Wingdings"/>
              </w:rPr>
              <w:t>ê</w:t>
            </w:r>
            <w:r w:rsidR="00614C1A" w:rsidRPr="00493BFA">
              <w:rPr>
                <w:rFonts w:ascii="Calibri" w:hAnsi="Calibri" w:cs="Calibri"/>
                <w:color w:val="000000"/>
                <w:lang w:eastAsia="en-GB"/>
              </w:rPr>
              <w:t>50.</w:t>
            </w:r>
            <w:r>
              <w:rPr>
                <w:rFonts w:ascii="Calibri" w:hAnsi="Calibri" w:cs="Calibri"/>
                <w:color w:val="000000"/>
                <w:lang w:eastAsia="en-GB"/>
              </w:rPr>
              <w:t>10</w:t>
            </w:r>
          </w:p>
          <w:p w14:paraId="4323F07C" w14:textId="1889A13F" w:rsidR="00614C1A" w:rsidRPr="00493BFA" w:rsidRDefault="00614C1A" w:rsidP="00D94819">
            <w:pPr>
              <w:jc w:val="right"/>
              <w:rPr>
                <w:rFonts w:ascii="Calibri" w:hAnsi="Calibri" w:cs="Calibri"/>
                <w:color w:val="000000"/>
                <w:lang w:eastAsia="en-GB"/>
              </w:rPr>
            </w:pPr>
            <w:r w:rsidRPr="00493BFA">
              <w:rPr>
                <w:rFonts w:ascii="Calibri" w:hAnsi="Calibri" w:cs="Calibri"/>
                <w:color w:val="000000"/>
                <w:lang w:eastAsia="en-GB"/>
              </w:rPr>
              <w:t>(</w:t>
            </w:r>
            <w:r w:rsidR="000E0CC8" w:rsidRPr="00493BFA">
              <w:rPr>
                <w:rFonts w:ascii="Calibri" w:hAnsi="Calibri" w:cs="Calibri"/>
                <w:color w:val="000000"/>
                <w:lang w:eastAsia="en-GB"/>
              </w:rPr>
              <w:t>50.</w:t>
            </w:r>
            <w:r w:rsidR="00150C86">
              <w:rPr>
                <w:rFonts w:ascii="Calibri" w:hAnsi="Calibri" w:cs="Calibri"/>
                <w:color w:val="000000"/>
                <w:lang w:eastAsia="en-GB"/>
              </w:rPr>
              <w:t>21</w:t>
            </w:r>
            <w:r w:rsidRPr="00493BFA">
              <w:rPr>
                <w:rFonts w:ascii="Calibri" w:hAnsi="Calibri" w:cs="Calibri"/>
                <w:color w:val="000000"/>
                <w:lang w:eastAsia="en-GB"/>
              </w:rPr>
              <w:t>)</w:t>
            </w:r>
          </w:p>
        </w:tc>
        <w:tc>
          <w:tcPr>
            <w:tcW w:w="1521" w:type="dxa"/>
            <w:tcBorders>
              <w:top w:val="nil"/>
              <w:left w:val="single" w:sz="4" w:space="0" w:color="979991"/>
              <w:bottom w:val="single" w:sz="4" w:space="0" w:color="979991"/>
              <w:right w:val="single" w:sz="4" w:space="0" w:color="979991"/>
            </w:tcBorders>
            <w:shd w:val="clear" w:color="000000" w:fill="FFFFFF"/>
            <w:hideMark/>
          </w:tcPr>
          <w:p w14:paraId="000D1CA5" w14:textId="7E3FD085" w:rsidR="00614C1A" w:rsidRPr="00493BFA" w:rsidRDefault="00150C86" w:rsidP="00D94819">
            <w:pPr>
              <w:jc w:val="right"/>
              <w:rPr>
                <w:rFonts w:ascii="Calibri" w:hAnsi="Calibri" w:cs="Calibri"/>
                <w:color w:val="000000"/>
                <w:lang w:eastAsia="en-GB"/>
              </w:rPr>
            </w:pPr>
            <w:r w:rsidRPr="00493BFA">
              <w:rPr>
                <w:rFonts w:ascii="Wingdings" w:eastAsia="Wingdings" w:hAnsi="Wingdings" w:cs="Wingdings"/>
              </w:rPr>
              <w:t>é</w:t>
            </w:r>
            <w:r w:rsidR="00614C1A" w:rsidRPr="00493BFA">
              <w:rPr>
                <w:rFonts w:ascii="Calibri" w:hAnsi="Calibri" w:cs="Calibri"/>
                <w:color w:val="000000"/>
                <w:lang w:eastAsia="en-GB"/>
              </w:rPr>
              <w:t>49.</w:t>
            </w:r>
            <w:r>
              <w:rPr>
                <w:rFonts w:ascii="Calibri" w:hAnsi="Calibri" w:cs="Calibri"/>
                <w:color w:val="000000"/>
                <w:lang w:eastAsia="en-GB"/>
              </w:rPr>
              <w:t>90</w:t>
            </w:r>
          </w:p>
          <w:p w14:paraId="54CD8FF9" w14:textId="65AE6F77" w:rsidR="00614C1A" w:rsidRPr="00493BFA" w:rsidRDefault="000E0CC8" w:rsidP="00D94819">
            <w:pPr>
              <w:jc w:val="right"/>
              <w:rPr>
                <w:rFonts w:ascii="Calibri" w:hAnsi="Calibri" w:cs="Calibri"/>
                <w:color w:val="000000"/>
                <w:lang w:eastAsia="en-GB"/>
              </w:rPr>
            </w:pPr>
            <w:r w:rsidRPr="00493BFA">
              <w:rPr>
                <w:rFonts w:ascii="Calibri" w:hAnsi="Calibri" w:cs="Calibri"/>
                <w:color w:val="000000"/>
                <w:lang w:eastAsia="en-GB"/>
              </w:rPr>
              <w:t>(49.</w:t>
            </w:r>
            <w:r w:rsidR="00150C86">
              <w:rPr>
                <w:rFonts w:ascii="Calibri" w:hAnsi="Calibri" w:cs="Calibri"/>
                <w:color w:val="000000"/>
                <w:lang w:eastAsia="en-GB"/>
              </w:rPr>
              <w:t>79</w:t>
            </w:r>
            <w:r w:rsidR="00614C1A" w:rsidRPr="00493BFA">
              <w:rPr>
                <w:rFonts w:ascii="Calibri" w:hAnsi="Calibri" w:cs="Calibri"/>
                <w:color w:val="000000"/>
                <w:lang w:eastAsia="en-GB"/>
              </w:rPr>
              <w:t>)</w:t>
            </w:r>
          </w:p>
        </w:tc>
      </w:tr>
    </w:tbl>
    <w:p w14:paraId="021005D0" w14:textId="3DC98684" w:rsidR="00614C1A" w:rsidRDefault="00614C1A" w:rsidP="00614C1A"/>
    <w:p w14:paraId="4634A0E7" w14:textId="77777777" w:rsidR="00614C1A" w:rsidRDefault="00614C1A" w:rsidP="00614C1A">
      <w:pPr>
        <w:pStyle w:val="Default"/>
        <w:rPr>
          <w:sz w:val="22"/>
          <w:szCs w:val="22"/>
        </w:rPr>
      </w:pPr>
    </w:p>
    <w:p w14:paraId="6C0D8519" w14:textId="14A359E4" w:rsidR="00614C1A" w:rsidRDefault="00614C1A" w:rsidP="00614C1A">
      <w:pPr>
        <w:pStyle w:val="Default"/>
        <w:rPr>
          <w:sz w:val="22"/>
          <w:szCs w:val="22"/>
        </w:rPr>
      </w:pPr>
      <w:r w:rsidRPr="00493BFA">
        <w:rPr>
          <w:sz w:val="22"/>
          <w:szCs w:val="22"/>
        </w:rPr>
        <w:t>The most significant changes in the quartile representation are</w:t>
      </w:r>
      <w:r w:rsidR="00707B93" w:rsidRPr="00493BFA">
        <w:rPr>
          <w:sz w:val="22"/>
          <w:szCs w:val="22"/>
        </w:rPr>
        <w:t xml:space="preserve"> the increase in </w:t>
      </w:r>
      <w:r w:rsidR="00551132" w:rsidRPr="00493BFA">
        <w:rPr>
          <w:sz w:val="22"/>
          <w:szCs w:val="22"/>
        </w:rPr>
        <w:t>male</w:t>
      </w:r>
      <w:r w:rsidR="00707B93" w:rsidRPr="00493BFA">
        <w:rPr>
          <w:sz w:val="22"/>
          <w:szCs w:val="22"/>
        </w:rPr>
        <w:t xml:space="preserve"> employees across </w:t>
      </w:r>
      <w:r w:rsidR="00433C29" w:rsidRPr="00493BFA">
        <w:rPr>
          <w:sz w:val="22"/>
          <w:szCs w:val="22"/>
        </w:rPr>
        <w:t>2</w:t>
      </w:r>
      <w:r w:rsidR="00707B93" w:rsidRPr="00493BFA">
        <w:rPr>
          <w:sz w:val="22"/>
          <w:szCs w:val="22"/>
        </w:rPr>
        <w:t xml:space="preserve"> of the four </w:t>
      </w:r>
      <w:proofErr w:type="gramStart"/>
      <w:r w:rsidR="00707B93" w:rsidRPr="00493BFA">
        <w:rPr>
          <w:sz w:val="22"/>
          <w:szCs w:val="22"/>
        </w:rPr>
        <w:t>quartile</w:t>
      </w:r>
      <w:proofErr w:type="gramEnd"/>
      <w:r w:rsidR="00707B93" w:rsidRPr="00493BFA">
        <w:rPr>
          <w:sz w:val="22"/>
          <w:szCs w:val="22"/>
        </w:rPr>
        <w:t>. The number remain close to a half/half split of headcount.</w:t>
      </w:r>
      <w:r w:rsidR="00707B93">
        <w:rPr>
          <w:sz w:val="22"/>
          <w:szCs w:val="22"/>
        </w:rPr>
        <w:t xml:space="preserve"> </w:t>
      </w:r>
    </w:p>
    <w:p w14:paraId="6803446A" w14:textId="788F2D1B" w:rsidR="00707B93" w:rsidRDefault="00707B93" w:rsidP="00614C1A">
      <w:pPr>
        <w:pStyle w:val="Default"/>
        <w:rPr>
          <w:b/>
          <w:bCs/>
          <w:sz w:val="22"/>
          <w:szCs w:val="22"/>
        </w:rPr>
      </w:pPr>
    </w:p>
    <w:p w14:paraId="27C2617E" w14:textId="6722DBD7" w:rsidR="00707B93" w:rsidRDefault="00707B93" w:rsidP="00614C1A">
      <w:pPr>
        <w:pStyle w:val="Default"/>
        <w:rPr>
          <w:b/>
          <w:bCs/>
          <w:sz w:val="22"/>
          <w:szCs w:val="22"/>
        </w:rPr>
      </w:pPr>
    </w:p>
    <w:p w14:paraId="3F58A25E" w14:textId="4659D321" w:rsidR="00707B93" w:rsidRDefault="00707B93" w:rsidP="00614C1A">
      <w:pPr>
        <w:pStyle w:val="Default"/>
        <w:rPr>
          <w:b/>
          <w:bCs/>
          <w:sz w:val="22"/>
          <w:szCs w:val="22"/>
        </w:rPr>
      </w:pPr>
    </w:p>
    <w:p w14:paraId="7F0570CD" w14:textId="348B8CD4" w:rsidR="00707B93" w:rsidRPr="00707B93" w:rsidRDefault="00707B93" w:rsidP="00614C1A">
      <w:pPr>
        <w:pStyle w:val="Default"/>
        <w:rPr>
          <w:b/>
          <w:bCs/>
          <w:sz w:val="22"/>
          <w:szCs w:val="22"/>
        </w:rPr>
      </w:pPr>
    </w:p>
    <w:p w14:paraId="0BA39090" w14:textId="3A6DEFC9" w:rsidR="00707B93" w:rsidRPr="00707B93" w:rsidRDefault="00707B93" w:rsidP="00707B93">
      <w:pPr>
        <w:pStyle w:val="Default"/>
        <w:numPr>
          <w:ilvl w:val="1"/>
          <w:numId w:val="2"/>
        </w:numPr>
        <w:rPr>
          <w:b/>
          <w:bCs/>
          <w:sz w:val="22"/>
          <w:szCs w:val="22"/>
        </w:rPr>
      </w:pPr>
      <w:r w:rsidRPr="00707B93">
        <w:rPr>
          <w:b/>
          <w:bCs/>
          <w:sz w:val="22"/>
          <w:szCs w:val="22"/>
        </w:rPr>
        <w:lastRenderedPageBreak/>
        <w:t xml:space="preserve">Conclusion </w:t>
      </w:r>
    </w:p>
    <w:p w14:paraId="4730E92B" w14:textId="7A0795D0" w:rsidR="00707B93" w:rsidRDefault="00707B93" w:rsidP="00707B93">
      <w:pPr>
        <w:pStyle w:val="Default"/>
        <w:rPr>
          <w:sz w:val="22"/>
          <w:szCs w:val="22"/>
        </w:rPr>
      </w:pPr>
    </w:p>
    <w:p w14:paraId="100B4AAC" w14:textId="3E70ADDF" w:rsidR="00707B93" w:rsidRDefault="00707B93" w:rsidP="00707B93">
      <w:pPr>
        <w:pStyle w:val="Default"/>
        <w:rPr>
          <w:sz w:val="22"/>
          <w:szCs w:val="22"/>
        </w:rPr>
      </w:pPr>
      <w:r w:rsidRPr="00262D95">
        <w:rPr>
          <w:sz w:val="22"/>
          <w:szCs w:val="22"/>
        </w:rPr>
        <w:t xml:space="preserve">The LET gender </w:t>
      </w:r>
      <w:proofErr w:type="gramStart"/>
      <w:r w:rsidRPr="00262D95">
        <w:rPr>
          <w:sz w:val="22"/>
          <w:szCs w:val="22"/>
        </w:rPr>
        <w:t>pay</w:t>
      </w:r>
      <w:proofErr w:type="gramEnd"/>
      <w:r w:rsidRPr="00262D95">
        <w:rPr>
          <w:sz w:val="22"/>
          <w:szCs w:val="22"/>
        </w:rPr>
        <w:t xml:space="preserve"> gap report for this year ending 31</w:t>
      </w:r>
      <w:r w:rsidRPr="00262D95">
        <w:rPr>
          <w:sz w:val="22"/>
          <w:szCs w:val="22"/>
          <w:vertAlign w:val="superscript"/>
        </w:rPr>
        <w:t>st</w:t>
      </w:r>
      <w:r w:rsidRPr="00262D95">
        <w:rPr>
          <w:sz w:val="22"/>
          <w:szCs w:val="22"/>
        </w:rPr>
        <w:t xml:space="preserve"> March 20</w:t>
      </w:r>
      <w:r w:rsidR="000F1CB6" w:rsidRPr="00262D95">
        <w:rPr>
          <w:sz w:val="22"/>
          <w:szCs w:val="22"/>
        </w:rPr>
        <w:t>2</w:t>
      </w:r>
      <w:r w:rsidR="00150C86">
        <w:rPr>
          <w:sz w:val="22"/>
          <w:szCs w:val="22"/>
        </w:rPr>
        <w:t>3</w:t>
      </w:r>
      <w:r w:rsidRPr="00262D95">
        <w:rPr>
          <w:sz w:val="22"/>
          <w:szCs w:val="22"/>
        </w:rPr>
        <w:t xml:space="preserve"> shows minimal change of the pay gap moving from £0.3</w:t>
      </w:r>
      <w:r w:rsidR="00150C86">
        <w:rPr>
          <w:sz w:val="22"/>
          <w:szCs w:val="22"/>
        </w:rPr>
        <w:t>2</w:t>
      </w:r>
      <w:r w:rsidRPr="00262D95">
        <w:rPr>
          <w:sz w:val="22"/>
          <w:szCs w:val="22"/>
        </w:rPr>
        <w:t xml:space="preserve"> per hour to £0.</w:t>
      </w:r>
      <w:r w:rsidR="004E5685">
        <w:rPr>
          <w:sz w:val="22"/>
          <w:szCs w:val="22"/>
        </w:rPr>
        <w:t>13</w:t>
      </w:r>
      <w:r w:rsidRPr="00262D95">
        <w:rPr>
          <w:sz w:val="22"/>
          <w:szCs w:val="22"/>
        </w:rPr>
        <w:t xml:space="preserve"> per hour.</w:t>
      </w:r>
      <w:r w:rsidRPr="7264FAAF">
        <w:rPr>
          <w:sz w:val="22"/>
          <w:szCs w:val="22"/>
        </w:rPr>
        <w:t xml:space="preserve"> </w:t>
      </w:r>
    </w:p>
    <w:p w14:paraId="6FCE8E19" w14:textId="77777777" w:rsidR="00707B93" w:rsidRPr="00707B93" w:rsidRDefault="00707B93" w:rsidP="00707B93">
      <w:pPr>
        <w:pStyle w:val="Default"/>
        <w:rPr>
          <w:rFonts w:asciiTheme="minorHAnsi" w:hAnsiTheme="minorHAnsi" w:cstheme="minorHAnsi"/>
          <w:sz w:val="22"/>
          <w:szCs w:val="22"/>
        </w:rPr>
      </w:pPr>
    </w:p>
    <w:p w14:paraId="45A10E5B" w14:textId="33BBD608" w:rsidR="00707B93" w:rsidRDefault="00707B93" w:rsidP="00707B93">
      <w:pPr>
        <w:spacing w:after="0" w:line="240" w:lineRule="auto"/>
        <w:rPr>
          <w:rFonts w:cstheme="minorHAnsi"/>
        </w:rPr>
      </w:pPr>
      <w:r w:rsidRPr="00707B93">
        <w:rPr>
          <w:rFonts w:cstheme="minorHAnsi"/>
        </w:rPr>
        <w:t xml:space="preserve">All LET employees are paid using the national pay scales provided by NHS Employers.  All employees are employed on the 2016 Medical and Dental Terms &amp; Conditions of Service, however depending upon the employees’ date of commencement of their current employment determines the pay scales they are paid upon.  </w:t>
      </w:r>
    </w:p>
    <w:p w14:paraId="480ED22A" w14:textId="7BA16641" w:rsidR="00707B93" w:rsidRDefault="00707B93" w:rsidP="00707B93">
      <w:pPr>
        <w:spacing w:after="0" w:line="240" w:lineRule="auto"/>
        <w:rPr>
          <w:rFonts w:cstheme="minorHAnsi"/>
        </w:rPr>
      </w:pPr>
    </w:p>
    <w:p w14:paraId="79DCB303" w14:textId="22CC6D68" w:rsidR="00707B93" w:rsidRDefault="00707B93" w:rsidP="00707B93">
      <w:pPr>
        <w:spacing w:after="0" w:line="240" w:lineRule="auto"/>
        <w:rPr>
          <w:rFonts w:cstheme="minorHAnsi"/>
        </w:rPr>
      </w:pPr>
    </w:p>
    <w:p w14:paraId="741C9415" w14:textId="7642DDD8" w:rsidR="00707B93" w:rsidRDefault="00262D95" w:rsidP="00707B93">
      <w:pPr>
        <w:spacing w:after="0" w:line="240" w:lineRule="auto"/>
        <w:rPr>
          <w:rFonts w:cstheme="minorHAnsi"/>
        </w:rPr>
      </w:pPr>
      <w:r>
        <w:rPr>
          <w:rFonts w:cstheme="minorHAnsi"/>
        </w:rPr>
        <w:t>Paul Harvey</w:t>
      </w:r>
    </w:p>
    <w:p w14:paraId="3D443FBE" w14:textId="0E970934" w:rsidR="00262D95" w:rsidRDefault="00262D95" w:rsidP="00707B93">
      <w:pPr>
        <w:spacing w:after="0" w:line="240" w:lineRule="auto"/>
        <w:rPr>
          <w:rFonts w:cstheme="minorHAnsi"/>
        </w:rPr>
      </w:pPr>
      <w:r>
        <w:rPr>
          <w:rFonts w:cstheme="minorHAnsi"/>
        </w:rPr>
        <w:t>Payroll Manager</w:t>
      </w:r>
    </w:p>
    <w:p w14:paraId="4FE8328C" w14:textId="40B5E5A4" w:rsidR="00262D95" w:rsidRDefault="001A734C" w:rsidP="00707B93">
      <w:pPr>
        <w:spacing w:after="0" w:line="240" w:lineRule="auto"/>
        <w:rPr>
          <w:rFonts w:cstheme="minorHAnsi"/>
        </w:rPr>
      </w:pPr>
      <w:r>
        <w:rPr>
          <w:rFonts w:cstheme="minorHAnsi"/>
        </w:rPr>
        <w:t>21</w:t>
      </w:r>
      <w:r w:rsidR="00262D95">
        <w:rPr>
          <w:rFonts w:cstheme="minorHAnsi"/>
        </w:rPr>
        <w:t>/</w:t>
      </w:r>
      <w:r>
        <w:rPr>
          <w:rFonts w:cstheme="minorHAnsi"/>
        </w:rPr>
        <w:t>02</w:t>
      </w:r>
      <w:r w:rsidR="00262D95">
        <w:rPr>
          <w:rFonts w:cstheme="minorHAnsi"/>
        </w:rPr>
        <w:t>/202</w:t>
      </w:r>
      <w:r w:rsidR="00150C86">
        <w:rPr>
          <w:rFonts w:cstheme="minorHAnsi"/>
        </w:rPr>
        <w:t>5</w:t>
      </w:r>
    </w:p>
    <w:p w14:paraId="03147AF6" w14:textId="77777777" w:rsidR="00707B93" w:rsidRPr="00707B93" w:rsidRDefault="00707B93" w:rsidP="00707B93">
      <w:pPr>
        <w:spacing w:after="0" w:line="240" w:lineRule="auto"/>
        <w:rPr>
          <w:rFonts w:cstheme="minorHAnsi"/>
        </w:rPr>
      </w:pPr>
    </w:p>
    <w:p w14:paraId="398B17AD" w14:textId="77777777" w:rsidR="00614C1A" w:rsidRDefault="00614C1A" w:rsidP="00707B93">
      <w:pPr>
        <w:spacing w:after="0" w:line="240" w:lineRule="auto"/>
        <w:rPr>
          <w:rFonts w:cstheme="minorHAnsi"/>
        </w:rPr>
      </w:pPr>
    </w:p>
    <w:p w14:paraId="7DE92E2D" w14:textId="77777777" w:rsidR="00614C1A" w:rsidRDefault="00614C1A" w:rsidP="00707B93">
      <w:pPr>
        <w:spacing w:after="0" w:line="240" w:lineRule="auto"/>
      </w:pPr>
    </w:p>
    <w:sectPr w:rsidR="00614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043CB"/>
    <w:multiLevelType w:val="multilevel"/>
    <w:tmpl w:val="F372E6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B9D0FAD"/>
    <w:multiLevelType w:val="multilevel"/>
    <w:tmpl w:val="1DC0B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4C555D"/>
    <w:multiLevelType w:val="hybridMultilevel"/>
    <w:tmpl w:val="0C4652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542281190">
    <w:abstractNumId w:val="0"/>
  </w:num>
  <w:num w:numId="2" w16cid:durableId="2110347020">
    <w:abstractNumId w:val="1"/>
  </w:num>
  <w:num w:numId="3" w16cid:durableId="2095205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1A"/>
    <w:rsid w:val="00054693"/>
    <w:rsid w:val="00063E27"/>
    <w:rsid w:val="000A3A39"/>
    <w:rsid w:val="000A7CBE"/>
    <w:rsid w:val="000E0CC8"/>
    <w:rsid w:val="000F1CB6"/>
    <w:rsid w:val="00150C86"/>
    <w:rsid w:val="001A734C"/>
    <w:rsid w:val="00262D95"/>
    <w:rsid w:val="00296D86"/>
    <w:rsid w:val="002A7BD5"/>
    <w:rsid w:val="00376D62"/>
    <w:rsid w:val="003D5577"/>
    <w:rsid w:val="0041069B"/>
    <w:rsid w:val="00433C29"/>
    <w:rsid w:val="00493BFA"/>
    <w:rsid w:val="004E5685"/>
    <w:rsid w:val="004F0440"/>
    <w:rsid w:val="00521D6A"/>
    <w:rsid w:val="00551132"/>
    <w:rsid w:val="00577E1C"/>
    <w:rsid w:val="00614C1A"/>
    <w:rsid w:val="00707B93"/>
    <w:rsid w:val="007109CA"/>
    <w:rsid w:val="00831860"/>
    <w:rsid w:val="0084415C"/>
    <w:rsid w:val="00983AFA"/>
    <w:rsid w:val="009C4761"/>
    <w:rsid w:val="00AC44B6"/>
    <w:rsid w:val="00B10996"/>
    <w:rsid w:val="00DB1015"/>
    <w:rsid w:val="00E1503E"/>
    <w:rsid w:val="00EE3434"/>
    <w:rsid w:val="00EE78FC"/>
    <w:rsid w:val="00F33A12"/>
    <w:rsid w:val="00F34C66"/>
    <w:rsid w:val="00F70744"/>
    <w:rsid w:val="00F77706"/>
    <w:rsid w:val="00FC1643"/>
    <w:rsid w:val="7264FAAF"/>
    <w:rsid w:val="775B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C78E"/>
  <w15:chartTrackingRefBased/>
  <w15:docId w15:val="{92A79F9F-3C52-40DC-B6EE-83877F0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C1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D5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B1C4C7A07B44280C9DF9787EAFB0A" ma:contentTypeVersion="16" ma:contentTypeDescription="Create a new document." ma:contentTypeScope="" ma:versionID="0a772a7d517379e97f9a12b033f9fdc9">
  <xsd:schema xmlns:xsd="http://www.w3.org/2001/XMLSchema" xmlns:xs="http://www.w3.org/2001/XMLSchema" xmlns:p="http://schemas.microsoft.com/office/2006/metadata/properties" xmlns:ns2="ca713f17-3bbd-4dbb-91d8-d77954010c96" xmlns:ns3="3df05c99-492f-45c1-9071-9b56d96d89db" targetNamespace="http://schemas.microsoft.com/office/2006/metadata/properties" ma:root="true" ma:fieldsID="06b5646546f881d28c3fcf3e04a00bb9" ns2:_="" ns3:_="">
    <xsd:import namespace="ca713f17-3bbd-4dbb-91d8-d77954010c96"/>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13f17-3bbd-4dbb-91d8-d77954010c9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3df05c99-492f-45c1-9071-9b56d96d89db" xsi:nil="true"/>
    <_ip_UnifiedCompliancePolicyUIAction xmlns="3df05c99-492f-45c1-9071-9b56d96d89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2BBDF-621E-4A24-AC8F-FCB60655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13f17-3bbd-4dbb-91d8-d77954010c96"/>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0C9EC-EE6C-4AA4-A43B-2904966410E5}">
  <ds:schemaRefs>
    <ds:schemaRef ds:uri="http://schemas.microsoft.com/office/2006/documentManagement/types"/>
    <ds:schemaRef ds:uri="http://purl.org/dc/elements/1.1/"/>
    <ds:schemaRef ds:uri="e22052fc-d202-426c-bbfe-894496630e8c"/>
    <ds:schemaRef ds:uri="http://www.w3.org/XML/1998/namespace"/>
    <ds:schemaRef ds:uri="7aa7fc76-484b-4dc6-89c0-47284fc64bd7"/>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3df05c99-492f-45c1-9071-9b56d96d89db"/>
  </ds:schemaRefs>
</ds:datastoreItem>
</file>

<file path=customXml/itemProps3.xml><?xml version="1.0" encoding="utf-8"?>
<ds:datastoreItem xmlns:ds="http://schemas.openxmlformats.org/officeDocument/2006/customXml" ds:itemID="{01116320-1D48-4EF3-8922-CD47D30CB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Heath Education England</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Sams</dc:creator>
  <cp:keywords/>
  <dc:description/>
  <cp:lastModifiedBy>HARVEY, Paul (NHS ENGLAND - T1510)</cp:lastModifiedBy>
  <cp:revision>2</cp:revision>
  <cp:lastPrinted>2024-01-26T15:42:00Z</cp:lastPrinted>
  <dcterms:created xsi:type="dcterms:W3CDTF">2025-02-21T14:11:00Z</dcterms:created>
  <dcterms:modified xsi:type="dcterms:W3CDTF">2025-02-21T14:11:00Z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0x010100AE3B1C4C7A07B44280C9DF9787EAFB0A</vt:lpwstr>
  </property>
  <property fmtid="{D5CDD505-2E9C-101B-9397-08002B2CF9AE}" pid="3" name="MediaServiceImageTags">
    <vt:lpwstr/>
  </property>
  <property fmtid="{D5CDD505-2E9C-101B-9397-08002B2CF9AE}" pid="4" name="_ExtendedDescription">
    <vt:lpwstr/>
  </property>
</Properties>
</file>